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A540" w14:textId="77777777" w:rsidR="004E7D57" w:rsidRDefault="004E7D57" w:rsidP="004E7D57">
      <w:pPr>
        <w:rPr>
          <w:rFonts w:ascii="Aptos" w:hAnsi="Aptos"/>
        </w:rPr>
      </w:pPr>
    </w:p>
    <w:p w14:paraId="68E75760" w14:textId="539F355A" w:rsidR="00184755" w:rsidRDefault="00184755" w:rsidP="004E7D57">
      <w:pPr>
        <w:rPr>
          <w:rFonts w:ascii="Aptos" w:hAnsi="Aptos"/>
        </w:rPr>
      </w:pPr>
      <w:r>
        <w:rPr>
          <w:noProof/>
        </w:rPr>
        <w:drawing>
          <wp:anchor distT="0" distB="0" distL="114300" distR="114300" simplePos="0" relativeHeight="251659264" behindDoc="0" locked="0" layoutInCell="1" allowOverlap="1" wp14:anchorId="697624C3" wp14:editId="746D4300">
            <wp:simplePos x="0" y="0"/>
            <wp:positionH relativeFrom="column">
              <wp:posOffset>4203700</wp:posOffset>
            </wp:positionH>
            <wp:positionV relativeFrom="margin">
              <wp:align>top</wp:align>
            </wp:positionV>
            <wp:extent cx="1391920" cy="607695"/>
            <wp:effectExtent l="0" t="0" r="0" b="1905"/>
            <wp:wrapSquare wrapText="bothSides"/>
            <wp:docPr id="1984877287" name="Picture 4">
              <a:extLst xmlns:a="http://schemas.openxmlformats.org/drawingml/2006/main">
                <a:ext uri="{FF2B5EF4-FFF2-40B4-BE49-F238E27FC236}">
                  <a16:creationId xmlns:a16="http://schemas.microsoft.com/office/drawing/2014/main" id="{E598AF1B-3D0A-42BA-B012-82528B7492B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77287" name="Picture 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92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940">
        <w:rPr>
          <w:noProof/>
          <w:sz w:val="22"/>
          <w:szCs w:val="22"/>
        </w:rPr>
        <w:drawing>
          <wp:anchor distT="0" distB="0" distL="114300" distR="114300" simplePos="0" relativeHeight="251660288" behindDoc="0" locked="0" layoutInCell="1" allowOverlap="1" wp14:anchorId="1EB04200" wp14:editId="6AE0BC29">
            <wp:simplePos x="0" y="0"/>
            <wp:positionH relativeFrom="margin">
              <wp:align>left</wp:align>
            </wp:positionH>
            <wp:positionV relativeFrom="margin">
              <wp:posOffset>-127000</wp:posOffset>
            </wp:positionV>
            <wp:extent cx="1985645" cy="666750"/>
            <wp:effectExtent l="0" t="0" r="0" b="0"/>
            <wp:wrapSquare wrapText="bothSides"/>
            <wp:docPr id="574302723" name="Picture 1">
              <a:extLst xmlns:a="http://schemas.openxmlformats.org/drawingml/2006/main">
                <a:ext uri="{FF2B5EF4-FFF2-40B4-BE49-F238E27FC236}">
                  <a16:creationId xmlns:a16="http://schemas.microsoft.com/office/drawing/2014/main" id="{A2A41351-C0AD-4B5A-AA5B-DF765CF08FD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0272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5645" cy="666750"/>
                    </a:xfrm>
                    <a:prstGeom prst="rect">
                      <a:avLst/>
                    </a:prstGeom>
                    <a:noFill/>
                    <a:ln>
                      <a:noFill/>
                    </a:ln>
                  </pic:spPr>
                </pic:pic>
              </a:graphicData>
            </a:graphic>
          </wp:anchor>
        </w:drawing>
      </w:r>
    </w:p>
    <w:p w14:paraId="120CAB0F" w14:textId="77777777" w:rsidR="00184755" w:rsidRDefault="00184755" w:rsidP="00184755">
      <w:pPr>
        <w:pStyle w:val="Heading1"/>
      </w:pPr>
      <w:r w:rsidRPr="00533C13">
        <w:t>Purpose, scope and value of farm assurance</w:t>
      </w:r>
    </w:p>
    <w:p w14:paraId="2A3CD38E" w14:textId="6CF83E8C" w:rsidR="002F4258" w:rsidRPr="002F4258" w:rsidRDefault="000D0D5A" w:rsidP="002F4258">
      <w:pPr>
        <w:pStyle w:val="IntroText"/>
      </w:pPr>
      <w:r>
        <w:t>26 May 2026</w:t>
      </w:r>
    </w:p>
    <w:p w14:paraId="0B0B1CA5" w14:textId="77777777" w:rsidR="00184755" w:rsidRPr="00533C13" w:rsidRDefault="00184755" w:rsidP="000D0D5A">
      <w:pPr>
        <w:pStyle w:val="Heading2"/>
      </w:pPr>
      <w:r w:rsidRPr="000D0D5A">
        <w:t>Introduction</w:t>
      </w:r>
    </w:p>
    <w:p w14:paraId="44569047" w14:textId="77777777" w:rsidR="00184755" w:rsidRPr="00533C13" w:rsidRDefault="00184755" w:rsidP="00184755">
      <w:pPr>
        <w:rPr>
          <w:rFonts w:ascii="Aptos" w:hAnsi="Aptos"/>
        </w:rPr>
      </w:pPr>
      <w:r w:rsidRPr="00533C13">
        <w:rPr>
          <w:rFonts w:ascii="Aptos" w:hAnsi="Aptos"/>
        </w:rPr>
        <w:t>The UK Farm Assurance Review calls on NFU and AHDB to lead work to clarify and reset the purpose and scope of farm assurance. This document responds to that recommendation.</w:t>
      </w:r>
    </w:p>
    <w:p w14:paraId="47E9BF52" w14:textId="77777777" w:rsidR="00184755" w:rsidRPr="00533C13" w:rsidRDefault="00184755" w:rsidP="00184755">
      <w:pPr>
        <w:rPr>
          <w:rFonts w:ascii="Aptos" w:hAnsi="Aptos"/>
        </w:rPr>
      </w:pPr>
      <w:r w:rsidRPr="00533C13">
        <w:rPr>
          <w:rFonts w:ascii="Aptos" w:hAnsi="Aptos"/>
        </w:rPr>
        <w:t>Farm assurance schemes are owned and run by different organisations, and each scheme is responsible for setting its own standards</w:t>
      </w:r>
      <w:r w:rsidRPr="7052A418">
        <w:rPr>
          <w:rFonts w:ascii="Aptos" w:hAnsi="Aptos"/>
        </w:rPr>
        <w:t xml:space="preserve"> and explaining to its members its purpose and scope – and how it delivers value.</w:t>
      </w:r>
      <w:r w:rsidRPr="00533C13">
        <w:rPr>
          <w:rFonts w:ascii="Aptos" w:hAnsi="Aptos"/>
        </w:rPr>
        <w:t xml:space="preserve"> What follows is </w:t>
      </w:r>
      <w:r w:rsidRPr="7052A418">
        <w:rPr>
          <w:rFonts w:ascii="Aptos" w:hAnsi="Aptos"/>
        </w:rPr>
        <w:t>a set of principles and concepts providing</w:t>
      </w:r>
      <w:r w:rsidRPr="00533C13">
        <w:rPr>
          <w:rFonts w:ascii="Aptos" w:hAnsi="Aptos"/>
        </w:rPr>
        <w:t>:</w:t>
      </w:r>
    </w:p>
    <w:p w14:paraId="6D5D8A39" w14:textId="77777777" w:rsidR="00184755" w:rsidRPr="00533C13" w:rsidRDefault="00184755" w:rsidP="00184755">
      <w:pPr>
        <w:pStyle w:val="ListParagraph"/>
        <w:numPr>
          <w:ilvl w:val="0"/>
          <w:numId w:val="41"/>
        </w:numPr>
        <w:rPr>
          <w:rFonts w:ascii="Aptos" w:hAnsi="Aptos"/>
        </w:rPr>
      </w:pPr>
      <w:r w:rsidRPr="00533C13">
        <w:rPr>
          <w:rFonts w:ascii="Aptos" w:hAnsi="Aptos"/>
        </w:rPr>
        <w:t>a</w:t>
      </w:r>
      <w:r w:rsidRPr="7052A418">
        <w:rPr>
          <w:rFonts w:ascii="Aptos" w:hAnsi="Aptos"/>
        </w:rPr>
        <w:t xml:space="preserve">n </w:t>
      </w:r>
      <w:r w:rsidRPr="00533C13">
        <w:rPr>
          <w:rFonts w:ascii="Aptos" w:hAnsi="Aptos"/>
        </w:rPr>
        <w:t xml:space="preserve">explanation of why farm assurance </w:t>
      </w:r>
      <w:r w:rsidRPr="7052A418">
        <w:rPr>
          <w:rFonts w:ascii="Aptos" w:hAnsi="Aptos"/>
        </w:rPr>
        <w:t xml:space="preserve">schemes </w:t>
      </w:r>
      <w:r w:rsidRPr="00533C13">
        <w:rPr>
          <w:rFonts w:ascii="Aptos" w:hAnsi="Aptos"/>
        </w:rPr>
        <w:t>exist</w:t>
      </w:r>
    </w:p>
    <w:p w14:paraId="388C99F4" w14:textId="77777777" w:rsidR="00184755" w:rsidRPr="00533C13" w:rsidRDefault="00184755" w:rsidP="00184755">
      <w:pPr>
        <w:pStyle w:val="ListParagraph"/>
        <w:numPr>
          <w:ilvl w:val="0"/>
          <w:numId w:val="41"/>
        </w:numPr>
        <w:rPr>
          <w:rFonts w:ascii="Aptos" w:hAnsi="Aptos"/>
        </w:rPr>
      </w:pPr>
      <w:r w:rsidRPr="4E3CDC26">
        <w:rPr>
          <w:rFonts w:ascii="Aptos" w:hAnsi="Aptos"/>
        </w:rPr>
        <w:t xml:space="preserve">a practical way of describing assurance types </w:t>
      </w:r>
    </w:p>
    <w:p w14:paraId="04FAF931" w14:textId="77777777" w:rsidR="00184755" w:rsidRPr="00533C13" w:rsidRDefault="00184755" w:rsidP="00184755">
      <w:pPr>
        <w:pStyle w:val="ListParagraph"/>
        <w:numPr>
          <w:ilvl w:val="0"/>
          <w:numId w:val="41"/>
        </w:numPr>
        <w:rPr>
          <w:rFonts w:ascii="Aptos" w:hAnsi="Aptos"/>
        </w:rPr>
      </w:pPr>
      <w:r w:rsidRPr="00533C13">
        <w:rPr>
          <w:rFonts w:ascii="Aptos" w:hAnsi="Aptos"/>
        </w:rPr>
        <w:t xml:space="preserve">a straightforward way of explaining the value assurance </w:t>
      </w:r>
      <w:r w:rsidRPr="7052A418">
        <w:rPr>
          <w:rFonts w:ascii="Aptos" w:hAnsi="Aptos"/>
        </w:rPr>
        <w:t xml:space="preserve">can </w:t>
      </w:r>
      <w:r w:rsidRPr="00533C13">
        <w:rPr>
          <w:rFonts w:ascii="Aptos" w:hAnsi="Aptos"/>
        </w:rPr>
        <w:t>bring to farmers and growers</w:t>
      </w:r>
    </w:p>
    <w:p w14:paraId="2B366E38" w14:textId="77777777" w:rsidR="00184755" w:rsidRPr="00533C13" w:rsidRDefault="00184755" w:rsidP="00184755">
      <w:pPr>
        <w:rPr>
          <w:rFonts w:ascii="Aptos" w:hAnsi="Aptos"/>
        </w:rPr>
      </w:pPr>
      <w:r w:rsidRPr="283113F9">
        <w:rPr>
          <w:rFonts w:ascii="Aptos" w:hAnsi="Aptos"/>
        </w:rPr>
        <w:t>The aim is to improve understanding, among farmers, levy payers and the wider supply chain, of the scope and purpose of specific schemes</w:t>
      </w:r>
    </w:p>
    <w:p w14:paraId="622F34A1" w14:textId="77777777" w:rsidR="00184755" w:rsidRPr="00533C13" w:rsidRDefault="00184755" w:rsidP="00184755">
      <w:pPr>
        <w:pStyle w:val="Heading2"/>
      </w:pPr>
      <w:r w:rsidRPr="00533C13">
        <w:t>Purpose: why farm assurance exists</w:t>
      </w:r>
    </w:p>
    <w:p w14:paraId="4802FFF8" w14:textId="77777777" w:rsidR="00184755" w:rsidRPr="00533C13" w:rsidRDefault="00184755" w:rsidP="00184755">
      <w:pPr>
        <w:rPr>
          <w:rFonts w:ascii="Aptos" w:hAnsi="Aptos"/>
        </w:rPr>
      </w:pPr>
      <w:r w:rsidRPr="00533C13">
        <w:rPr>
          <w:rFonts w:ascii="Aptos" w:hAnsi="Aptos"/>
        </w:rPr>
        <w:t xml:space="preserve">At its core, farm assurance exists to </w:t>
      </w:r>
      <w:r>
        <w:rPr>
          <w:rFonts w:ascii="Aptos" w:hAnsi="Aptos"/>
        </w:rPr>
        <w:t>enable</w:t>
      </w:r>
      <w:r w:rsidRPr="00533C13">
        <w:rPr>
          <w:rFonts w:ascii="Aptos" w:hAnsi="Aptos"/>
        </w:rPr>
        <w:t xml:space="preserve"> farmers and growers to show</w:t>
      </w:r>
      <w:r>
        <w:rPr>
          <w:rFonts w:ascii="Aptos" w:hAnsi="Aptos"/>
        </w:rPr>
        <w:t xml:space="preserve"> and reassure customers and consumers </w:t>
      </w:r>
      <w:r w:rsidRPr="00533C13">
        <w:rPr>
          <w:rFonts w:ascii="Aptos" w:hAnsi="Aptos"/>
        </w:rPr>
        <w:t>that the food they produce meets agreed standards.</w:t>
      </w:r>
    </w:p>
    <w:p w14:paraId="3622B41F" w14:textId="77777777" w:rsidR="00184755" w:rsidRPr="00533C13" w:rsidRDefault="00184755" w:rsidP="00184755">
      <w:pPr>
        <w:rPr>
          <w:rFonts w:ascii="Aptos" w:hAnsi="Aptos"/>
        </w:rPr>
      </w:pPr>
      <w:r w:rsidRPr="4E3CDC26">
        <w:rPr>
          <w:rFonts w:ascii="Aptos" w:hAnsi="Aptos"/>
        </w:rPr>
        <w:t xml:space="preserve">Through independent </w:t>
      </w:r>
      <w:r>
        <w:rPr>
          <w:rFonts w:ascii="Aptos" w:hAnsi="Aptos"/>
        </w:rPr>
        <w:t>audit</w:t>
      </w:r>
      <w:r w:rsidRPr="4E3CDC26">
        <w:rPr>
          <w:rFonts w:ascii="Aptos" w:hAnsi="Aptos"/>
        </w:rPr>
        <w:t xml:space="preserve"> against those standards, </w:t>
      </w:r>
      <w:r>
        <w:rPr>
          <w:rFonts w:ascii="Aptos" w:hAnsi="Aptos"/>
        </w:rPr>
        <w:t xml:space="preserve">farm </w:t>
      </w:r>
      <w:r w:rsidRPr="4E3CDC26">
        <w:rPr>
          <w:rFonts w:ascii="Aptos" w:hAnsi="Aptos"/>
        </w:rPr>
        <w:t>assurance supports farmers to demonstrate that food and feed are:</w:t>
      </w:r>
    </w:p>
    <w:p w14:paraId="6C64D9BB" w14:textId="77777777" w:rsidR="00184755" w:rsidRPr="00533C13" w:rsidRDefault="00184755" w:rsidP="00184755">
      <w:pPr>
        <w:pStyle w:val="ListParagraph"/>
        <w:numPr>
          <w:ilvl w:val="0"/>
          <w:numId w:val="44"/>
        </w:numPr>
        <w:rPr>
          <w:rFonts w:ascii="Aptos" w:hAnsi="Aptos"/>
        </w:rPr>
      </w:pPr>
      <w:r w:rsidRPr="00533C13">
        <w:rPr>
          <w:rFonts w:ascii="Aptos" w:hAnsi="Aptos"/>
        </w:rPr>
        <w:t>safe</w:t>
      </w:r>
      <w:r>
        <w:rPr>
          <w:rFonts w:ascii="Aptos" w:hAnsi="Aptos"/>
        </w:rPr>
        <w:t>,</w:t>
      </w:r>
      <w:r w:rsidRPr="00533C13">
        <w:rPr>
          <w:rFonts w:ascii="Aptos" w:hAnsi="Aptos"/>
        </w:rPr>
        <w:t xml:space="preserve"> legally compliant</w:t>
      </w:r>
      <w:r>
        <w:rPr>
          <w:rFonts w:ascii="Aptos" w:hAnsi="Aptos"/>
        </w:rPr>
        <w:t xml:space="preserve"> and traceable </w:t>
      </w:r>
    </w:p>
    <w:p w14:paraId="7401DE48" w14:textId="77777777" w:rsidR="00184755" w:rsidRDefault="00184755" w:rsidP="00184755">
      <w:pPr>
        <w:pStyle w:val="ListParagraph"/>
        <w:numPr>
          <w:ilvl w:val="0"/>
          <w:numId w:val="44"/>
        </w:numPr>
        <w:rPr>
          <w:rFonts w:ascii="Aptos" w:hAnsi="Aptos"/>
        </w:rPr>
      </w:pPr>
      <w:r w:rsidRPr="00533C13">
        <w:rPr>
          <w:rFonts w:ascii="Aptos" w:hAnsi="Aptos"/>
        </w:rPr>
        <w:lastRenderedPageBreak/>
        <w:t>produced in line with recognised good practice</w:t>
      </w:r>
    </w:p>
    <w:p w14:paraId="06B95A09" w14:textId="77777777" w:rsidR="00184755" w:rsidRPr="002B4317" w:rsidRDefault="00184755" w:rsidP="00184755">
      <w:pPr>
        <w:spacing w:line="240" w:lineRule="auto"/>
        <w:rPr>
          <w:rFonts w:ascii="Aptos" w:hAnsi="Aptos"/>
          <w:lang w:val="en-GB"/>
        </w:rPr>
      </w:pPr>
      <w:r w:rsidRPr="002B4317">
        <w:rPr>
          <w:rFonts w:ascii="Aptos" w:hAnsi="Aptos"/>
          <w:lang w:val="en-GB"/>
        </w:rPr>
        <w:t xml:space="preserve">This verification supports due diligence obligations not just for farms but those across the supply chain, </w:t>
      </w:r>
      <w:r>
        <w:rPr>
          <w:rFonts w:ascii="Aptos" w:hAnsi="Aptos"/>
          <w:lang w:val="en-GB"/>
        </w:rPr>
        <w:t xml:space="preserve">which is an important aspect of demonstrating compliance with food safety regulation. </w:t>
      </w:r>
    </w:p>
    <w:p w14:paraId="0FBFB1B6" w14:textId="77777777" w:rsidR="00184755" w:rsidRPr="00533C13" w:rsidRDefault="00184755" w:rsidP="00184755">
      <w:pPr>
        <w:rPr>
          <w:rFonts w:ascii="Aptos" w:hAnsi="Aptos"/>
        </w:rPr>
      </w:pPr>
      <w:r w:rsidRPr="229CE87A">
        <w:rPr>
          <w:rFonts w:ascii="Aptos" w:hAnsi="Aptos"/>
        </w:rPr>
        <w:t>This gives confidence to customers, consumers and regulators, without every buyer needing their own audit system. Where schemes are recognised by regulators, assurance can also support earned recognition and reduce duplication of checks.</w:t>
      </w:r>
    </w:p>
    <w:p w14:paraId="48114D90" w14:textId="77777777" w:rsidR="00184755" w:rsidRPr="00533C13" w:rsidRDefault="00184755" w:rsidP="00184755">
      <w:pPr>
        <w:rPr>
          <w:rFonts w:ascii="Aptos" w:hAnsi="Aptos"/>
        </w:rPr>
      </w:pPr>
      <w:r w:rsidRPr="00533C13">
        <w:rPr>
          <w:rFonts w:ascii="Aptos" w:hAnsi="Aptos"/>
        </w:rPr>
        <w:t xml:space="preserve">Put simply, assurance provides trusted </w:t>
      </w:r>
      <w:r>
        <w:rPr>
          <w:rFonts w:ascii="Aptos" w:hAnsi="Aptos"/>
        </w:rPr>
        <w:t>due diligence</w:t>
      </w:r>
      <w:r w:rsidRPr="00533C13">
        <w:rPr>
          <w:rFonts w:ascii="Aptos" w:hAnsi="Aptos"/>
        </w:rPr>
        <w:t xml:space="preserve"> </w:t>
      </w:r>
      <w:r w:rsidRPr="00DC11DA">
        <w:rPr>
          <w:rFonts w:ascii="Aptos" w:hAnsi="Aptos"/>
        </w:rPr>
        <w:t>that food</w:t>
      </w:r>
      <w:r w:rsidRPr="00533C13">
        <w:rPr>
          <w:rFonts w:ascii="Aptos" w:hAnsi="Aptos"/>
        </w:rPr>
        <w:t xml:space="preserve"> meets the expectations placed on it.</w:t>
      </w:r>
    </w:p>
    <w:p w14:paraId="5AD95ADD" w14:textId="77777777" w:rsidR="00184755" w:rsidRPr="00533C13" w:rsidRDefault="00184755" w:rsidP="00184755">
      <w:pPr>
        <w:pStyle w:val="Heading2"/>
      </w:pPr>
      <w:r w:rsidRPr="00533C13">
        <w:t xml:space="preserve">Foundational </w:t>
      </w:r>
      <w:r>
        <w:t xml:space="preserve">assurance and </w:t>
      </w:r>
      <w:r w:rsidRPr="00533C13">
        <w:t xml:space="preserve">enhanced </w:t>
      </w:r>
      <w:r>
        <w:t xml:space="preserve">standards </w:t>
      </w:r>
    </w:p>
    <w:p w14:paraId="5F7FAA0C" w14:textId="77777777" w:rsidR="00184755" w:rsidRPr="00533C13" w:rsidRDefault="00184755" w:rsidP="00184755">
      <w:pPr>
        <w:rPr>
          <w:rFonts w:ascii="Aptos" w:hAnsi="Aptos"/>
        </w:rPr>
      </w:pPr>
      <w:r w:rsidRPr="00533C13">
        <w:rPr>
          <w:rFonts w:ascii="Aptos" w:hAnsi="Aptos"/>
        </w:rPr>
        <w:t>Farm assurance schemes broadly fall into two categories.</w:t>
      </w:r>
    </w:p>
    <w:p w14:paraId="3FAB7F6D" w14:textId="77777777" w:rsidR="00184755" w:rsidRPr="00533C13" w:rsidRDefault="00184755" w:rsidP="00184755">
      <w:pPr>
        <w:pStyle w:val="Heading3"/>
      </w:pPr>
      <w:r w:rsidRPr="00533C13">
        <w:t>Foundational assurance</w:t>
      </w:r>
    </w:p>
    <w:p w14:paraId="3144561C" w14:textId="77777777" w:rsidR="00184755" w:rsidRPr="00533C13" w:rsidRDefault="00184755" w:rsidP="00184755">
      <w:pPr>
        <w:rPr>
          <w:rFonts w:ascii="Aptos" w:hAnsi="Aptos"/>
        </w:rPr>
      </w:pPr>
      <w:r w:rsidRPr="7B0EC494">
        <w:rPr>
          <w:rFonts w:ascii="Aptos" w:hAnsi="Aptos"/>
        </w:rPr>
        <w:t>Foundational standards and/or schemes provide a common baseline that the whole supply chain can rely on. These focus on meeting relevant legal requirements such as food safety, animal welfare and pollution prevention, drawing on relevant widely accepted industry good agricultural practice.</w:t>
      </w:r>
    </w:p>
    <w:p w14:paraId="25A83E06" w14:textId="77777777" w:rsidR="00184755" w:rsidRPr="00533C13" w:rsidRDefault="00184755" w:rsidP="00184755">
      <w:pPr>
        <w:rPr>
          <w:rFonts w:ascii="Aptos" w:hAnsi="Aptos"/>
        </w:rPr>
      </w:pPr>
      <w:r w:rsidRPr="64077668">
        <w:rPr>
          <w:rFonts w:ascii="Aptos" w:hAnsi="Aptos"/>
        </w:rPr>
        <w:t xml:space="preserve">Many retailers, processors and foodservice businesses rely on foundational assurance to </w:t>
      </w:r>
      <w:r w:rsidRPr="00E8155D">
        <w:rPr>
          <w:rFonts w:ascii="Aptos" w:hAnsi="Aptos"/>
        </w:rPr>
        <w:t>source produce</w:t>
      </w:r>
      <w:r w:rsidRPr="64077668">
        <w:rPr>
          <w:rFonts w:ascii="Aptos" w:hAnsi="Aptos"/>
        </w:rPr>
        <w:t xml:space="preserve"> with confidence.</w:t>
      </w:r>
    </w:p>
    <w:p w14:paraId="42603B74" w14:textId="77777777" w:rsidR="00184755" w:rsidRPr="00533C13" w:rsidRDefault="00184755" w:rsidP="00184755">
      <w:pPr>
        <w:rPr>
          <w:rFonts w:ascii="Aptos" w:hAnsi="Aptos"/>
        </w:rPr>
      </w:pPr>
      <w:r w:rsidRPr="00533C13">
        <w:rPr>
          <w:rFonts w:ascii="Aptos" w:hAnsi="Aptos"/>
        </w:rPr>
        <w:t>Foundational assurance works best when it is:</w:t>
      </w:r>
    </w:p>
    <w:p w14:paraId="00D5B1BA" w14:textId="77777777" w:rsidR="00184755" w:rsidRPr="00533C13" w:rsidRDefault="00184755" w:rsidP="00184755">
      <w:pPr>
        <w:pStyle w:val="ListParagraph"/>
        <w:numPr>
          <w:ilvl w:val="0"/>
          <w:numId w:val="40"/>
        </w:numPr>
        <w:rPr>
          <w:rFonts w:ascii="Aptos" w:hAnsi="Aptos"/>
        </w:rPr>
      </w:pPr>
      <w:r w:rsidRPr="00533C13">
        <w:rPr>
          <w:rFonts w:ascii="Aptos" w:hAnsi="Aptos"/>
        </w:rPr>
        <w:t>clear about its purpose</w:t>
      </w:r>
      <w:r>
        <w:rPr>
          <w:rFonts w:ascii="Aptos" w:hAnsi="Aptos"/>
        </w:rPr>
        <w:t xml:space="preserve"> and is well governed</w:t>
      </w:r>
    </w:p>
    <w:p w14:paraId="210FE538" w14:textId="77777777" w:rsidR="00184755" w:rsidRPr="00147C6E" w:rsidRDefault="00184755" w:rsidP="00184755">
      <w:pPr>
        <w:pStyle w:val="ListParagraph"/>
        <w:numPr>
          <w:ilvl w:val="0"/>
          <w:numId w:val="40"/>
        </w:numPr>
        <w:rPr>
          <w:rFonts w:ascii="Aptos" w:hAnsi="Aptos"/>
        </w:rPr>
      </w:pPr>
      <w:r w:rsidRPr="00147C6E">
        <w:rPr>
          <w:rFonts w:ascii="Aptos" w:hAnsi="Aptos"/>
        </w:rPr>
        <w:t>proportionate in what it asks of farmers</w:t>
      </w:r>
    </w:p>
    <w:p w14:paraId="79D9551B" w14:textId="77777777" w:rsidR="00184755" w:rsidRPr="00E8155D" w:rsidRDefault="00184755" w:rsidP="00184755">
      <w:pPr>
        <w:pStyle w:val="ListParagraph"/>
        <w:numPr>
          <w:ilvl w:val="0"/>
          <w:numId w:val="40"/>
        </w:numPr>
        <w:spacing w:after="0" w:line="240" w:lineRule="auto"/>
        <w:rPr>
          <w:rFonts w:ascii="Aptos" w:eastAsia="Times New Roman" w:hAnsi="Aptos"/>
          <w:lang w:eastAsia="en-US"/>
        </w:rPr>
      </w:pPr>
      <w:r w:rsidRPr="00E8155D">
        <w:rPr>
          <w:rFonts w:ascii="Aptos" w:eastAsia="Times New Roman" w:hAnsi="Aptos"/>
          <w:lang w:eastAsia="en-US"/>
        </w:rPr>
        <w:t xml:space="preserve">meets </w:t>
      </w:r>
      <w:r w:rsidRPr="002B4317">
        <w:rPr>
          <w:rFonts w:ascii="Aptos" w:eastAsia="Times New Roman" w:hAnsi="Aptos"/>
          <w:lang w:eastAsia="en-US"/>
        </w:rPr>
        <w:t xml:space="preserve">common </w:t>
      </w:r>
      <w:r w:rsidRPr="00E8155D">
        <w:rPr>
          <w:rFonts w:ascii="Aptos" w:eastAsia="Times New Roman" w:hAnsi="Aptos"/>
          <w:lang w:eastAsia="en-US"/>
        </w:rPr>
        <w:t>customer/ consumer needs</w:t>
      </w:r>
    </w:p>
    <w:p w14:paraId="21A2E841" w14:textId="0FDFDC81" w:rsidR="00184755" w:rsidRPr="00E8155D" w:rsidRDefault="00184755" w:rsidP="00184755">
      <w:pPr>
        <w:pStyle w:val="ListParagraph"/>
        <w:numPr>
          <w:ilvl w:val="0"/>
          <w:numId w:val="40"/>
        </w:numPr>
        <w:spacing w:line="278" w:lineRule="auto"/>
        <w:ind w:left="714" w:hanging="357"/>
        <w:rPr>
          <w:rFonts w:ascii="Aptos" w:eastAsia="Times New Roman" w:hAnsi="Aptos"/>
          <w:sz w:val="22"/>
          <w:szCs w:val="22"/>
          <w:lang w:eastAsia="en-US"/>
        </w:rPr>
      </w:pPr>
      <w:r w:rsidRPr="7B0EC494">
        <w:rPr>
          <w:rFonts w:ascii="Aptos" w:eastAsia="Times New Roman" w:hAnsi="Aptos"/>
          <w:lang w:eastAsia="en-US"/>
        </w:rPr>
        <w:t>can enable access to multiple markets</w:t>
      </w:r>
    </w:p>
    <w:p w14:paraId="01B4D604" w14:textId="77777777" w:rsidR="00184755" w:rsidRPr="00533C13" w:rsidRDefault="00184755" w:rsidP="00184755">
      <w:pPr>
        <w:pStyle w:val="Heading3"/>
      </w:pPr>
      <w:r w:rsidRPr="00533C13">
        <w:t xml:space="preserve">Enhanced </w:t>
      </w:r>
      <w:r>
        <w:t>assurance</w:t>
      </w:r>
    </w:p>
    <w:p w14:paraId="1183071C" w14:textId="77777777" w:rsidR="00184755" w:rsidRPr="00533C13" w:rsidRDefault="00184755" w:rsidP="00184755">
      <w:pPr>
        <w:rPr>
          <w:rFonts w:ascii="Aptos" w:hAnsi="Aptos"/>
        </w:rPr>
      </w:pPr>
      <w:r w:rsidRPr="7B0EC494">
        <w:rPr>
          <w:rFonts w:ascii="Aptos" w:hAnsi="Aptos"/>
        </w:rPr>
        <w:t xml:space="preserve">Enhanced standards are tiers on top of foundational assurance or dedicated supply chain arrangements that sit above the foundational level. They demonstrate higher or more specific standards, often linked to particular production systems or attributes, such as organic, environmental enhancement, or higher welfare. </w:t>
      </w:r>
    </w:p>
    <w:p w14:paraId="6AB484BA" w14:textId="77777777" w:rsidR="00184755" w:rsidRPr="00533C13" w:rsidRDefault="00184755" w:rsidP="00184755">
      <w:pPr>
        <w:rPr>
          <w:rFonts w:ascii="Aptos" w:hAnsi="Aptos"/>
        </w:rPr>
      </w:pPr>
      <w:r w:rsidRPr="64077668">
        <w:rPr>
          <w:rFonts w:ascii="Aptos" w:hAnsi="Aptos"/>
        </w:rPr>
        <w:t xml:space="preserve">Enhanced </w:t>
      </w:r>
      <w:r>
        <w:rPr>
          <w:rFonts w:ascii="Aptos" w:hAnsi="Aptos"/>
        </w:rPr>
        <w:t>standards</w:t>
      </w:r>
      <w:r w:rsidRPr="64077668">
        <w:rPr>
          <w:rFonts w:ascii="Aptos" w:hAnsi="Aptos"/>
        </w:rPr>
        <w:t xml:space="preserve"> are typically used to:</w:t>
      </w:r>
    </w:p>
    <w:p w14:paraId="2A54D652" w14:textId="77777777" w:rsidR="00184755" w:rsidRPr="00533C13" w:rsidRDefault="00184755" w:rsidP="00184755">
      <w:pPr>
        <w:pStyle w:val="ListParagraph"/>
        <w:numPr>
          <w:ilvl w:val="0"/>
          <w:numId w:val="42"/>
        </w:numPr>
        <w:rPr>
          <w:rFonts w:ascii="Aptos" w:hAnsi="Aptos"/>
        </w:rPr>
      </w:pPr>
      <w:r w:rsidRPr="00533C13">
        <w:rPr>
          <w:rFonts w:ascii="Aptos" w:hAnsi="Aptos"/>
        </w:rPr>
        <w:lastRenderedPageBreak/>
        <w:t>access specific markets</w:t>
      </w:r>
    </w:p>
    <w:p w14:paraId="13AEE035" w14:textId="77777777" w:rsidR="00184755" w:rsidRPr="00533C13" w:rsidRDefault="00184755" w:rsidP="00184755">
      <w:pPr>
        <w:pStyle w:val="ListParagraph"/>
        <w:numPr>
          <w:ilvl w:val="0"/>
          <w:numId w:val="42"/>
        </w:numPr>
        <w:rPr>
          <w:rFonts w:ascii="Aptos" w:hAnsi="Aptos"/>
        </w:rPr>
      </w:pPr>
      <w:r w:rsidRPr="00533C13">
        <w:rPr>
          <w:rFonts w:ascii="Aptos" w:hAnsi="Aptos"/>
        </w:rPr>
        <w:t>support product differentiation</w:t>
      </w:r>
    </w:p>
    <w:p w14:paraId="36DC119E" w14:textId="10CB7454" w:rsidR="00184755" w:rsidRPr="00533C13" w:rsidRDefault="00184755" w:rsidP="00184755">
      <w:pPr>
        <w:pStyle w:val="ListParagraph"/>
        <w:numPr>
          <w:ilvl w:val="0"/>
          <w:numId w:val="42"/>
        </w:numPr>
        <w:rPr>
          <w:rFonts w:ascii="Aptos" w:hAnsi="Aptos"/>
        </w:rPr>
      </w:pPr>
      <w:r w:rsidRPr="59417D50">
        <w:rPr>
          <w:rFonts w:ascii="Aptos" w:hAnsi="Aptos"/>
        </w:rPr>
        <w:t xml:space="preserve">justify a price premium </w:t>
      </w:r>
    </w:p>
    <w:p w14:paraId="339CB55D" w14:textId="77777777" w:rsidR="00184755" w:rsidRDefault="00184755" w:rsidP="00184755">
      <w:pPr>
        <w:rPr>
          <w:rFonts w:ascii="Aptos" w:hAnsi="Aptos"/>
        </w:rPr>
      </w:pPr>
      <w:r w:rsidRPr="7B0EC494">
        <w:rPr>
          <w:rFonts w:ascii="Aptos" w:hAnsi="Aptos"/>
        </w:rPr>
        <w:t>Some assurance schemes combine foundational and voluntary enhanced standards within a single, tiered structure. Others effectively require membership of a separate scheme offering foundational standards as a starting point. Access to enhanced assurance should be driven by choice rather than obligation.</w:t>
      </w:r>
    </w:p>
    <w:p w14:paraId="1DE677E5" w14:textId="77777777" w:rsidR="00184755" w:rsidRPr="002B4317" w:rsidRDefault="00184755" w:rsidP="00184755">
      <w:pPr>
        <w:rPr>
          <w:rFonts w:ascii="Aptos" w:hAnsi="Aptos"/>
        </w:rPr>
      </w:pPr>
      <w:r w:rsidRPr="00A925F2">
        <w:rPr>
          <w:rFonts w:ascii="Aptos" w:hAnsi="Aptos"/>
          <w:noProof/>
        </w:rPr>
        <w:drawing>
          <wp:inline distT="0" distB="0" distL="0" distR="0" wp14:anchorId="4A9F59A5" wp14:editId="5E3EE662">
            <wp:extent cx="5483860" cy="3235878"/>
            <wp:effectExtent l="0" t="0" r="2540" b="3175"/>
            <wp:docPr id="459495925" name="Picture 1">
              <a:extLst xmlns:a="http://schemas.openxmlformats.org/drawingml/2006/main">
                <a:ext uri="{FF2B5EF4-FFF2-40B4-BE49-F238E27FC236}">
                  <a16:creationId xmlns:a16="http://schemas.microsoft.com/office/drawing/2014/main" id="{6958F2DC-220F-4E63-ACA1-838E51092E9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95925"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494674" cy="3242259"/>
                    </a:xfrm>
                    <a:prstGeom prst="rect">
                      <a:avLst/>
                    </a:prstGeom>
                  </pic:spPr>
                </pic:pic>
              </a:graphicData>
            </a:graphic>
          </wp:inline>
        </w:drawing>
      </w:r>
    </w:p>
    <w:p w14:paraId="2D924E21" w14:textId="77777777" w:rsidR="00184755" w:rsidRPr="00533C13" w:rsidRDefault="00184755" w:rsidP="00184755">
      <w:pPr>
        <w:pStyle w:val="Heading2"/>
      </w:pPr>
      <w:r w:rsidRPr="00533C13">
        <w:t>Scope: what assurance should cover</w:t>
      </w:r>
    </w:p>
    <w:p w14:paraId="60CC1BD5" w14:textId="77777777" w:rsidR="00184755" w:rsidRPr="00533C13" w:rsidRDefault="00184755" w:rsidP="00184755">
      <w:pPr>
        <w:rPr>
          <w:rFonts w:ascii="Aptos" w:hAnsi="Aptos"/>
        </w:rPr>
      </w:pPr>
      <w:r w:rsidRPr="00533C13">
        <w:rPr>
          <w:rFonts w:ascii="Aptos" w:hAnsi="Aptos"/>
        </w:rPr>
        <w:t>Clear scope is essential for trust. Farmers need confidence about where assurance starts and stops.</w:t>
      </w:r>
    </w:p>
    <w:p w14:paraId="11549E09" w14:textId="77777777" w:rsidR="00184755" w:rsidRPr="00533C13" w:rsidRDefault="00184755" w:rsidP="00184755">
      <w:pPr>
        <w:rPr>
          <w:rFonts w:ascii="Aptos" w:hAnsi="Aptos"/>
        </w:rPr>
      </w:pPr>
      <w:r w:rsidRPr="00533C13">
        <w:rPr>
          <w:rFonts w:ascii="Aptos" w:hAnsi="Aptos"/>
        </w:rPr>
        <w:t xml:space="preserve">Foundational assurance </w:t>
      </w:r>
      <w:r w:rsidRPr="00DC11DA">
        <w:rPr>
          <w:rFonts w:ascii="Aptos" w:hAnsi="Aptos"/>
        </w:rPr>
        <w:t xml:space="preserve">should focus on what is needed to provide confidence in food production across the whole supply chain. </w:t>
      </w:r>
    </w:p>
    <w:p w14:paraId="763F8912" w14:textId="77777777" w:rsidR="00184755" w:rsidRDefault="00184755" w:rsidP="00184755">
      <w:pPr>
        <w:rPr>
          <w:rFonts w:ascii="Aptos" w:hAnsi="Aptos"/>
        </w:rPr>
      </w:pPr>
      <w:r>
        <w:rPr>
          <w:rFonts w:ascii="Aptos" w:hAnsi="Aptos"/>
        </w:rPr>
        <w:t>Foundational s</w:t>
      </w:r>
      <w:r w:rsidRPr="59417D50">
        <w:rPr>
          <w:rFonts w:ascii="Aptos" w:hAnsi="Aptos"/>
        </w:rPr>
        <w:t xml:space="preserve">tandards will change over time. This may be driven by new legislation, emerging risks, consumer </w:t>
      </w:r>
      <w:r w:rsidRPr="00E6360F">
        <w:rPr>
          <w:rFonts w:ascii="Aptos" w:hAnsi="Aptos"/>
        </w:rPr>
        <w:t>expectations, supply chain expectations or changes</w:t>
      </w:r>
      <w:r w:rsidRPr="59417D50">
        <w:rPr>
          <w:rFonts w:ascii="Aptos" w:hAnsi="Aptos"/>
        </w:rPr>
        <w:t xml:space="preserve"> in farming practice. </w:t>
      </w:r>
      <w:r>
        <w:rPr>
          <w:rFonts w:ascii="Aptos" w:hAnsi="Aptos"/>
        </w:rPr>
        <w:t xml:space="preserve">However, assurance is one of several routes that can be used to address emerging policy, reputational or market challenges. </w:t>
      </w:r>
    </w:p>
    <w:p w14:paraId="7E7A7484" w14:textId="77777777" w:rsidR="00184755" w:rsidRPr="00533C13" w:rsidRDefault="00184755" w:rsidP="00184755">
      <w:pPr>
        <w:rPr>
          <w:rFonts w:ascii="Aptos" w:hAnsi="Aptos"/>
        </w:rPr>
      </w:pPr>
      <w:r w:rsidRPr="59417D50">
        <w:rPr>
          <w:rFonts w:ascii="Aptos" w:hAnsi="Aptos"/>
        </w:rPr>
        <w:t>When change is needed, it is essential that scheme owners:</w:t>
      </w:r>
    </w:p>
    <w:p w14:paraId="3AD4EB42" w14:textId="77777777" w:rsidR="00184755" w:rsidRPr="00533C13" w:rsidRDefault="00184755" w:rsidP="00184755">
      <w:pPr>
        <w:pStyle w:val="ListParagraph"/>
        <w:numPr>
          <w:ilvl w:val="0"/>
          <w:numId w:val="43"/>
        </w:numPr>
        <w:rPr>
          <w:rFonts w:ascii="Aptos" w:hAnsi="Aptos"/>
        </w:rPr>
      </w:pPr>
      <w:r w:rsidRPr="00533C13">
        <w:rPr>
          <w:rFonts w:ascii="Aptos" w:hAnsi="Aptos"/>
        </w:rPr>
        <w:t>explain clearly why changes are proposed</w:t>
      </w:r>
    </w:p>
    <w:p w14:paraId="15520DD5" w14:textId="77777777" w:rsidR="00184755" w:rsidRPr="00533C13" w:rsidRDefault="00184755" w:rsidP="00184755">
      <w:pPr>
        <w:pStyle w:val="ListParagraph"/>
        <w:numPr>
          <w:ilvl w:val="0"/>
          <w:numId w:val="43"/>
        </w:numPr>
        <w:rPr>
          <w:rFonts w:ascii="Aptos" w:hAnsi="Aptos"/>
        </w:rPr>
      </w:pPr>
      <w:r w:rsidRPr="00533C13">
        <w:rPr>
          <w:rFonts w:ascii="Aptos" w:hAnsi="Aptos"/>
        </w:rPr>
        <w:lastRenderedPageBreak/>
        <w:t>consult meaningfully with scheme members</w:t>
      </w:r>
      <w:r>
        <w:rPr>
          <w:rFonts w:ascii="Aptos" w:hAnsi="Aptos"/>
        </w:rPr>
        <w:t xml:space="preserve"> as well as broader supply chain stakeholders</w:t>
      </w:r>
    </w:p>
    <w:p w14:paraId="07E96977" w14:textId="77777777" w:rsidR="00184755" w:rsidRPr="004B7405" w:rsidRDefault="00184755" w:rsidP="00184755">
      <w:pPr>
        <w:pStyle w:val="ListParagraph"/>
        <w:numPr>
          <w:ilvl w:val="0"/>
          <w:numId w:val="43"/>
        </w:numPr>
        <w:rPr>
          <w:rFonts w:ascii="Aptos" w:hAnsi="Aptos"/>
        </w:rPr>
      </w:pPr>
      <w:r w:rsidRPr="7B0EC494">
        <w:rPr>
          <w:rFonts w:ascii="Aptos" w:hAnsi="Aptos"/>
        </w:rPr>
        <w:t>recognise the cost versus benefit and practical impact on farm businesses</w:t>
      </w:r>
      <w:r>
        <w:rPr>
          <w:rFonts w:ascii="Aptos" w:hAnsi="Aptos"/>
        </w:rPr>
        <w:t xml:space="preserve"> </w:t>
      </w:r>
      <w:r w:rsidRPr="004B7405">
        <w:rPr>
          <w:rFonts w:ascii="Aptos" w:hAnsi="Aptos"/>
        </w:rPr>
        <w:t>such as the impact on domestic competitiveness compared to imports to the same market</w:t>
      </w:r>
      <w:r>
        <w:rPr>
          <w:rFonts w:ascii="Aptos" w:hAnsi="Aptos"/>
        </w:rPr>
        <w:t>.</w:t>
      </w:r>
    </w:p>
    <w:p w14:paraId="207FBFD7" w14:textId="77777777" w:rsidR="00184755" w:rsidRPr="00533C13" w:rsidRDefault="00184755" w:rsidP="00184755">
      <w:pPr>
        <w:rPr>
          <w:rFonts w:ascii="Aptos" w:hAnsi="Aptos"/>
        </w:rPr>
      </w:pPr>
      <w:r w:rsidRPr="59417D50">
        <w:rPr>
          <w:rFonts w:ascii="Aptos" w:hAnsi="Aptos"/>
        </w:rPr>
        <w:t>Enhanced requirements should be clearly identified as such, and farmers should be able to see whether they are being asked to meet them for enhanced market access or for a premium.</w:t>
      </w:r>
    </w:p>
    <w:p w14:paraId="5FEF6B21" w14:textId="77777777" w:rsidR="00184755" w:rsidRPr="00533C13" w:rsidRDefault="00184755" w:rsidP="00184755">
      <w:pPr>
        <w:pStyle w:val="Heading2"/>
      </w:pPr>
      <w:r w:rsidRPr="00533C13">
        <w:t>The value of farm assurance</w:t>
      </w:r>
    </w:p>
    <w:p w14:paraId="7EEDAA86" w14:textId="77777777" w:rsidR="00184755" w:rsidRPr="00533C13" w:rsidRDefault="00184755" w:rsidP="00184755">
      <w:pPr>
        <w:rPr>
          <w:rFonts w:ascii="Aptos" w:hAnsi="Aptos"/>
        </w:rPr>
      </w:pPr>
      <w:r w:rsidRPr="7B0EC494">
        <w:rPr>
          <w:rFonts w:ascii="Aptos" w:hAnsi="Aptos"/>
        </w:rPr>
        <w:t>Farm assurance can and should deliver value in different ways, depending on the type of scheme and the needs it is meeting. In simple terms, foundational assurance provides due diligence and confidence; enhanced assurance supports differentiation and reward.</w:t>
      </w:r>
    </w:p>
    <w:p w14:paraId="7EB3D934" w14:textId="77777777" w:rsidR="00184755" w:rsidRPr="00533C13" w:rsidRDefault="00184755" w:rsidP="00184755">
      <w:pPr>
        <w:rPr>
          <w:rFonts w:ascii="Aptos" w:hAnsi="Aptos"/>
        </w:rPr>
      </w:pPr>
      <w:r w:rsidRPr="00533C13">
        <w:rPr>
          <w:rFonts w:ascii="Aptos" w:hAnsi="Aptos"/>
        </w:rPr>
        <w:t>Across the system, assurance can deliver value by:</w:t>
      </w:r>
    </w:p>
    <w:p w14:paraId="54A089EA" w14:textId="77777777" w:rsidR="00184755" w:rsidRDefault="00184755" w:rsidP="00184755">
      <w:pPr>
        <w:pStyle w:val="ListParagraph"/>
        <w:numPr>
          <w:ilvl w:val="0"/>
          <w:numId w:val="39"/>
        </w:numPr>
        <w:spacing w:line="278" w:lineRule="auto"/>
        <w:ind w:left="714" w:hanging="357"/>
        <w:contextualSpacing w:val="0"/>
        <w:rPr>
          <w:rFonts w:ascii="Aptos" w:hAnsi="Aptos"/>
        </w:rPr>
      </w:pPr>
      <w:r w:rsidRPr="4E3CDC26">
        <w:rPr>
          <w:rFonts w:ascii="Aptos" w:hAnsi="Aptos"/>
        </w:rPr>
        <w:t xml:space="preserve">Demonstrating farmers are </w:t>
      </w:r>
      <w:r>
        <w:rPr>
          <w:rFonts w:ascii="Aptos" w:hAnsi="Aptos"/>
        </w:rPr>
        <w:t>practicing</w:t>
      </w:r>
      <w:r w:rsidRPr="4E3CDC26">
        <w:rPr>
          <w:rFonts w:ascii="Aptos" w:hAnsi="Aptos"/>
        </w:rPr>
        <w:t xml:space="preserve"> due diligence</w:t>
      </w:r>
      <w:r>
        <w:rPr>
          <w:rFonts w:ascii="Aptos" w:hAnsi="Aptos"/>
        </w:rPr>
        <w:t xml:space="preserve"> within the scope of their scheme</w:t>
      </w:r>
      <w:r w:rsidRPr="4E3CDC26">
        <w:rPr>
          <w:rFonts w:ascii="Aptos" w:hAnsi="Aptos"/>
        </w:rPr>
        <w:t>, for example:</w:t>
      </w:r>
    </w:p>
    <w:p w14:paraId="2DD7B0BF" w14:textId="77777777" w:rsidR="00184755" w:rsidRPr="00DE36A9" w:rsidRDefault="00184755" w:rsidP="00184755">
      <w:pPr>
        <w:pStyle w:val="ListParagraph"/>
        <w:numPr>
          <w:ilvl w:val="1"/>
          <w:numId w:val="39"/>
        </w:numPr>
        <w:rPr>
          <w:rFonts w:ascii="Aptos" w:hAnsi="Aptos"/>
        </w:rPr>
      </w:pPr>
      <w:r w:rsidRPr="00DE36A9">
        <w:rPr>
          <w:rFonts w:ascii="Aptos" w:eastAsia="Aptos" w:hAnsi="Aptos" w:cs="Aptos"/>
        </w:rPr>
        <w:t>Producers have a responsibility under the Food Safety Act to demonstrate due diligence</w:t>
      </w:r>
      <w:r>
        <w:t xml:space="preserve"> </w:t>
      </w:r>
      <w:r w:rsidRPr="006334DF">
        <w:rPr>
          <w:rFonts w:ascii="Aptos" w:hAnsi="Aptos"/>
        </w:rPr>
        <w:t>including the importance of corrective action</w:t>
      </w:r>
    </w:p>
    <w:p w14:paraId="46A467F4" w14:textId="0836153A" w:rsidR="00184755" w:rsidRDefault="00184755" w:rsidP="00184755">
      <w:pPr>
        <w:pStyle w:val="ListParagraph"/>
        <w:numPr>
          <w:ilvl w:val="1"/>
          <w:numId w:val="39"/>
        </w:numPr>
        <w:rPr>
          <w:rFonts w:ascii="Aptos" w:eastAsia="Aptos" w:hAnsi="Aptos" w:cs="Aptos"/>
        </w:rPr>
      </w:pPr>
      <w:r w:rsidRPr="7B0EC494">
        <w:rPr>
          <w:rFonts w:ascii="Aptos" w:eastAsia="Aptos" w:hAnsi="Aptos" w:cs="Aptos"/>
        </w:rPr>
        <w:t>Customers need high confidence that their supply chains do not present legal or reputational risks.  Assurance schemes have a role to play here, within their defined scope</w:t>
      </w:r>
    </w:p>
    <w:p w14:paraId="2C34C9F1" w14:textId="77777777" w:rsidR="00184755" w:rsidRPr="001462D2" w:rsidRDefault="00184755" w:rsidP="00184755">
      <w:pPr>
        <w:pStyle w:val="ListParagraph"/>
        <w:ind w:left="1440"/>
        <w:rPr>
          <w:rFonts w:ascii="Aptos" w:eastAsia="Aptos" w:hAnsi="Aptos" w:cs="Aptos"/>
          <w:sz w:val="16"/>
          <w:szCs w:val="16"/>
        </w:rPr>
      </w:pPr>
    </w:p>
    <w:p w14:paraId="0033F547" w14:textId="77777777" w:rsidR="00184755" w:rsidRPr="00533C13" w:rsidRDefault="00184755" w:rsidP="00184755">
      <w:pPr>
        <w:pStyle w:val="ListParagraph"/>
        <w:numPr>
          <w:ilvl w:val="0"/>
          <w:numId w:val="39"/>
        </w:numPr>
        <w:spacing w:line="278" w:lineRule="auto"/>
        <w:ind w:left="714" w:hanging="357"/>
        <w:contextualSpacing w:val="0"/>
        <w:rPr>
          <w:rFonts w:ascii="Aptos" w:hAnsi="Aptos"/>
        </w:rPr>
      </w:pPr>
      <w:r w:rsidRPr="4E315F89">
        <w:rPr>
          <w:rFonts w:ascii="Aptos" w:hAnsi="Aptos"/>
        </w:rPr>
        <w:t xml:space="preserve">Supporting consumer confidence in British food, for example: </w:t>
      </w:r>
    </w:p>
    <w:p w14:paraId="64554649" w14:textId="77777777" w:rsidR="00184755" w:rsidRPr="00DE36A9" w:rsidRDefault="00184755" w:rsidP="00184755">
      <w:pPr>
        <w:pStyle w:val="ListParagraph"/>
        <w:numPr>
          <w:ilvl w:val="1"/>
          <w:numId w:val="39"/>
        </w:numPr>
        <w:rPr>
          <w:rFonts w:ascii="Aptos" w:eastAsia="Aptos" w:hAnsi="Aptos" w:cs="Aptos"/>
        </w:rPr>
      </w:pPr>
      <w:hyperlink r:id="rId13" w:history="1">
        <w:r w:rsidRPr="00DE36A9">
          <w:rPr>
            <w:rStyle w:val="Hyperlink"/>
            <w:rFonts w:ascii="Aptos" w:eastAsia="Aptos" w:hAnsi="Aptos" w:cs="Aptos"/>
            <w:color w:val="467886"/>
          </w:rPr>
          <w:t>The Red Tractor/YouGov 2025 Trust in Food Index</w:t>
        </w:r>
      </w:hyperlink>
      <w:r w:rsidRPr="00DE36A9">
        <w:rPr>
          <w:rFonts w:ascii="Aptos" w:eastAsia="Aptos" w:hAnsi="Aptos" w:cs="Aptos"/>
        </w:rPr>
        <w:t xml:space="preserve"> found that 60% of consumers say assurance labels increase their trust in food</w:t>
      </w:r>
    </w:p>
    <w:p w14:paraId="36763FC7" w14:textId="77777777" w:rsidR="00184755" w:rsidRPr="00DE36A9" w:rsidRDefault="00184755" w:rsidP="00184755">
      <w:pPr>
        <w:pStyle w:val="ListParagraph"/>
        <w:numPr>
          <w:ilvl w:val="1"/>
          <w:numId w:val="39"/>
        </w:numPr>
        <w:rPr>
          <w:rFonts w:ascii="Aptos" w:eastAsia="Aptos" w:hAnsi="Aptos" w:cs="Aptos"/>
        </w:rPr>
      </w:pPr>
      <w:hyperlink r:id="rId14" w:history="1">
        <w:r w:rsidRPr="00DE36A9">
          <w:rPr>
            <w:rStyle w:val="Hyperlink"/>
            <w:rFonts w:ascii="Aptos" w:eastAsia="Aptos" w:hAnsi="Aptos" w:cs="Aptos"/>
            <w:color w:val="467886"/>
          </w:rPr>
          <w:t xml:space="preserve">The British Egg Information Service </w:t>
        </w:r>
      </w:hyperlink>
      <w:r w:rsidRPr="00DE36A9">
        <w:rPr>
          <w:rFonts w:ascii="Aptos" w:eastAsia="Aptos" w:hAnsi="Aptos" w:cs="Aptos"/>
        </w:rPr>
        <w:t>website states that the British Lion scheme has drastically reduced the presence of salmonella in UK eggs. All eggs that carry the British Lion mark have been produced under the stringent requirements of the British Lion Code of Practice, which ensures the highest standards of food safety</w:t>
      </w:r>
    </w:p>
    <w:p w14:paraId="717994AD" w14:textId="5A164119" w:rsidR="00184755" w:rsidRPr="00DE36A9" w:rsidRDefault="00184755" w:rsidP="00184755">
      <w:pPr>
        <w:pStyle w:val="ListParagraph"/>
        <w:numPr>
          <w:ilvl w:val="1"/>
          <w:numId w:val="39"/>
        </w:numPr>
        <w:spacing w:after="0"/>
        <w:rPr>
          <w:rFonts w:ascii="Aptos" w:hAnsi="Aptos"/>
        </w:rPr>
      </w:pPr>
      <w:r w:rsidRPr="00DE36A9">
        <w:rPr>
          <w:rFonts w:ascii="Aptos" w:eastAsia="Aptos" w:hAnsi="Aptos" w:cs="Aptos"/>
        </w:rPr>
        <w:t>A</w:t>
      </w:r>
      <w:r w:rsidR="00C80F94">
        <w:rPr>
          <w:rFonts w:ascii="Aptos" w:eastAsia="Aptos" w:hAnsi="Aptos" w:cs="Aptos"/>
        </w:rPr>
        <w:t>n</w:t>
      </w:r>
      <w:r w:rsidRPr="00DE36A9">
        <w:rPr>
          <w:rFonts w:ascii="Aptos" w:eastAsia="Aptos" w:hAnsi="Aptos" w:cs="Aptos"/>
        </w:rPr>
        <w:t xml:space="preserve"> </w:t>
      </w:r>
      <w:hyperlink r:id="rId15" w:history="1">
        <w:r w:rsidRPr="00DE36A9">
          <w:rPr>
            <w:rStyle w:val="Hyperlink"/>
            <w:rFonts w:ascii="Aptos" w:eastAsia="Aptos" w:hAnsi="Aptos" w:cs="Aptos"/>
            <w:color w:val="467886"/>
          </w:rPr>
          <w:t>RSPCA Assured/YouGov survey in 2025</w:t>
        </w:r>
      </w:hyperlink>
      <w:r w:rsidRPr="00DE36A9">
        <w:rPr>
          <w:rFonts w:ascii="Aptos" w:eastAsia="Aptos" w:hAnsi="Aptos" w:cs="Aptos"/>
        </w:rPr>
        <w:t xml:space="preserve"> found that the majority (62%) of UK shoppers are willing to spend more and buy British higher-welfare-labelled products</w:t>
      </w:r>
    </w:p>
    <w:p w14:paraId="60499374" w14:textId="08CC58FE" w:rsidR="00184755" w:rsidRPr="00DE36A9" w:rsidRDefault="00184755" w:rsidP="00184755">
      <w:pPr>
        <w:pStyle w:val="ListParagraph"/>
        <w:numPr>
          <w:ilvl w:val="1"/>
          <w:numId w:val="39"/>
        </w:numPr>
        <w:spacing w:line="278" w:lineRule="auto"/>
        <w:ind w:left="1434" w:hanging="357"/>
        <w:rPr>
          <w:rFonts w:ascii="Aptos" w:hAnsi="Aptos"/>
        </w:rPr>
      </w:pPr>
      <w:r w:rsidRPr="00DE36A9">
        <w:rPr>
          <w:rFonts w:ascii="Aptos" w:eastAsia="Aptos" w:hAnsi="Aptos" w:cs="Aptos"/>
        </w:rPr>
        <w:lastRenderedPageBreak/>
        <w:t xml:space="preserve">The Red Tractor/YouGov 2025 ‘Trust in Food index’ found that 92% of adults trust food produced in the UK, with 70% agreeing that UK farmers perform well on animal welfare. Fifty-eight per cent of respondents said that good animal welfare standards are a reason for trusting UK food. </w:t>
      </w:r>
      <w:hyperlink r:id="rId16" w:history="1">
        <w:r w:rsidRPr="00DE36A9">
          <w:rPr>
            <w:rStyle w:val="Hyperlink"/>
            <w:rFonts w:ascii="Aptos" w:eastAsia="Aptos" w:hAnsi="Aptos" w:cs="Aptos"/>
            <w:color w:val="467886"/>
          </w:rPr>
          <w:t>The Trust in Food Index - Red Tractor</w:t>
        </w:r>
      </w:hyperlink>
    </w:p>
    <w:p w14:paraId="01AAA47B" w14:textId="77777777" w:rsidR="00184755" w:rsidRPr="001462D2" w:rsidRDefault="00184755" w:rsidP="00184755">
      <w:pPr>
        <w:pStyle w:val="ListParagraph"/>
        <w:spacing w:line="278" w:lineRule="auto"/>
        <w:ind w:left="1440"/>
        <w:rPr>
          <w:rFonts w:ascii="Aptos" w:hAnsi="Aptos"/>
          <w:sz w:val="16"/>
          <w:szCs w:val="16"/>
        </w:rPr>
      </w:pPr>
    </w:p>
    <w:p w14:paraId="0A74C646" w14:textId="77777777" w:rsidR="00184755" w:rsidRPr="00533C13" w:rsidRDefault="00184755" w:rsidP="00184755">
      <w:pPr>
        <w:pStyle w:val="ListParagraph"/>
        <w:numPr>
          <w:ilvl w:val="0"/>
          <w:numId w:val="39"/>
        </w:numPr>
        <w:spacing w:line="278" w:lineRule="auto"/>
        <w:ind w:left="714" w:hanging="357"/>
        <w:contextualSpacing w:val="0"/>
        <w:rPr>
          <w:rFonts w:ascii="Aptos" w:hAnsi="Aptos"/>
        </w:rPr>
      </w:pPr>
      <w:r w:rsidRPr="4E315F89">
        <w:rPr>
          <w:rFonts w:ascii="Aptos" w:hAnsi="Aptos"/>
        </w:rPr>
        <w:t>Protecting market access for farmers and growers, for example:</w:t>
      </w:r>
    </w:p>
    <w:p w14:paraId="3CE718C4" w14:textId="77777777" w:rsidR="00184755" w:rsidRPr="00DE36A9" w:rsidRDefault="00184755" w:rsidP="00184755">
      <w:pPr>
        <w:pStyle w:val="ListParagraph"/>
        <w:numPr>
          <w:ilvl w:val="1"/>
          <w:numId w:val="39"/>
        </w:numPr>
        <w:rPr>
          <w:rFonts w:ascii="Aptos" w:eastAsia="Aptos" w:hAnsi="Aptos" w:cs="Aptos"/>
        </w:rPr>
      </w:pPr>
      <w:r w:rsidRPr="00DE36A9">
        <w:rPr>
          <w:rFonts w:ascii="Aptos" w:eastAsia="Aptos" w:hAnsi="Aptos" w:cs="Aptos"/>
        </w:rPr>
        <w:t>An AHDB/Blue Marble Trust Survey in 2025 showed that 84% of consumers are happy buying meat/dairy from the UK, well ahead of the next highest country (New Zealand, 58%).</w:t>
      </w:r>
    </w:p>
    <w:p w14:paraId="08ADDD8E" w14:textId="77777777" w:rsidR="00184755" w:rsidRDefault="00184755" w:rsidP="00184755">
      <w:pPr>
        <w:pStyle w:val="ListParagraph"/>
        <w:rPr>
          <w:rFonts w:ascii="Aptos" w:hAnsi="Aptos"/>
        </w:rPr>
      </w:pPr>
    </w:p>
    <w:p w14:paraId="124380C1" w14:textId="77777777" w:rsidR="00184755" w:rsidRPr="00DE36A9" w:rsidRDefault="00184755" w:rsidP="00184755">
      <w:pPr>
        <w:pStyle w:val="ListParagraph"/>
        <w:numPr>
          <w:ilvl w:val="0"/>
          <w:numId w:val="39"/>
        </w:numPr>
        <w:spacing w:line="278" w:lineRule="auto"/>
        <w:ind w:left="714" w:hanging="357"/>
        <w:contextualSpacing w:val="0"/>
        <w:rPr>
          <w:rFonts w:ascii="Aptos" w:hAnsi="Aptos"/>
        </w:rPr>
      </w:pPr>
      <w:r w:rsidRPr="4E315F89">
        <w:rPr>
          <w:rFonts w:ascii="Aptos" w:hAnsi="Aptos"/>
        </w:rPr>
        <w:t>Reducing duplication of audits and inspections, for example:</w:t>
      </w:r>
    </w:p>
    <w:p w14:paraId="42AF225D" w14:textId="77777777" w:rsidR="00184755" w:rsidRPr="00DE36A9" w:rsidRDefault="00184755" w:rsidP="00184755">
      <w:pPr>
        <w:pStyle w:val="ListParagraph"/>
        <w:numPr>
          <w:ilvl w:val="1"/>
          <w:numId w:val="39"/>
        </w:numPr>
        <w:rPr>
          <w:rFonts w:ascii="Aptos" w:eastAsia="Aptos" w:hAnsi="Aptos" w:cs="Aptos"/>
        </w:rPr>
      </w:pPr>
      <w:hyperlink r:id="rId17" w:history="1">
        <w:r w:rsidRPr="00DE36A9">
          <w:rPr>
            <w:rStyle w:val="Hyperlink"/>
            <w:rFonts w:ascii="Aptos" w:eastAsia="Aptos" w:hAnsi="Aptos" w:cs="Aptos"/>
            <w:color w:val="467886"/>
          </w:rPr>
          <w:t>Dairy hygiene inspections take place every 10 years on assured dairy farms, but every six months to two years on non-assured farms</w:t>
        </w:r>
      </w:hyperlink>
    </w:p>
    <w:p w14:paraId="53C610BE" w14:textId="77777777" w:rsidR="00184755" w:rsidRPr="00DE36A9" w:rsidRDefault="00184755" w:rsidP="00184755">
      <w:pPr>
        <w:pStyle w:val="ListParagraph"/>
        <w:numPr>
          <w:ilvl w:val="1"/>
          <w:numId w:val="39"/>
        </w:numPr>
        <w:rPr>
          <w:rFonts w:ascii="Aptos" w:eastAsia="Aptos" w:hAnsi="Aptos" w:cs="Aptos"/>
        </w:rPr>
      </w:pPr>
      <w:r w:rsidRPr="7B0EC494">
        <w:rPr>
          <w:rFonts w:ascii="Aptos" w:eastAsia="Aptos" w:hAnsi="Aptos" w:cs="Aptos"/>
        </w:rPr>
        <w:t xml:space="preserve">Pig and poultry producers achieving a high standard of compliance with their Natural Resources Wales (NRW) environmental permit can join the </w:t>
      </w:r>
      <w:hyperlink r:id="rId18">
        <w:r w:rsidRPr="7B0EC494">
          <w:rPr>
            <w:rStyle w:val="Hyperlink"/>
            <w:rFonts w:ascii="Aptos" w:eastAsia="Aptos" w:hAnsi="Aptos" w:cs="Aptos"/>
            <w:color w:val="467886"/>
          </w:rPr>
          <w:t>Pig and Poultry Assurance Scheme</w:t>
        </w:r>
      </w:hyperlink>
      <w:r w:rsidRPr="7B0EC494">
        <w:rPr>
          <w:rFonts w:ascii="Aptos" w:eastAsia="Aptos" w:hAnsi="Aptos" w:cs="Aptos"/>
        </w:rPr>
        <w:t>. Each farm saves £1,476 from NRW annual charges and will be visited by NRW only once every three years</w:t>
      </w:r>
    </w:p>
    <w:p w14:paraId="707D2362" w14:textId="77777777" w:rsidR="00184755" w:rsidRDefault="00184755" w:rsidP="00184755">
      <w:pPr>
        <w:pStyle w:val="ListParagraph"/>
        <w:numPr>
          <w:ilvl w:val="1"/>
          <w:numId w:val="39"/>
        </w:numPr>
        <w:rPr>
          <w:rFonts w:ascii="Aptos" w:eastAsia="Aptos" w:hAnsi="Aptos" w:cs="Aptos"/>
        </w:rPr>
      </w:pPr>
      <w:r w:rsidRPr="7B0EC494">
        <w:rPr>
          <w:rFonts w:ascii="Aptos" w:eastAsia="Aptos" w:hAnsi="Aptos" w:cs="Aptos"/>
        </w:rPr>
        <w:t xml:space="preserve">Schemes are able to collaborate to facilitate joint audits - </w:t>
      </w:r>
      <w:hyperlink r:id="rId19" w:history="1">
        <w:r w:rsidRPr="00E057F7">
          <w:rPr>
            <w:rStyle w:val="Hyperlink"/>
            <w:rFonts w:ascii="Aptos" w:eastAsia="Aptos" w:hAnsi="Aptos" w:cs="Aptos"/>
            <w:color w:val="467886"/>
          </w:rPr>
          <w:t>https://redtractor.org.uk/assurance/joint-assessments</w:t>
        </w:r>
      </w:hyperlink>
      <w:r w:rsidRPr="00E057F7">
        <w:rPr>
          <w:rStyle w:val="Hyperlink"/>
          <w:color w:val="467886"/>
        </w:rPr>
        <w:t xml:space="preserve"> </w:t>
      </w:r>
    </w:p>
    <w:p w14:paraId="0BC3690E" w14:textId="77777777" w:rsidR="00184755" w:rsidRDefault="00184755" w:rsidP="00184755">
      <w:pPr>
        <w:pStyle w:val="ListParagraph"/>
        <w:ind w:left="1440"/>
        <w:rPr>
          <w:rFonts w:ascii="Aptos" w:hAnsi="Aptos"/>
        </w:rPr>
      </w:pPr>
    </w:p>
    <w:p w14:paraId="62A1FAB3" w14:textId="77777777" w:rsidR="00184755" w:rsidRPr="00533C13" w:rsidRDefault="00184755" w:rsidP="00184755">
      <w:pPr>
        <w:pStyle w:val="ListParagraph"/>
        <w:numPr>
          <w:ilvl w:val="0"/>
          <w:numId w:val="39"/>
        </w:numPr>
        <w:spacing w:line="278" w:lineRule="auto"/>
        <w:ind w:left="714" w:hanging="357"/>
        <w:contextualSpacing w:val="0"/>
        <w:rPr>
          <w:rFonts w:ascii="Aptos" w:hAnsi="Aptos"/>
        </w:rPr>
      </w:pPr>
      <w:r w:rsidRPr="4E315F89">
        <w:rPr>
          <w:rFonts w:ascii="Aptos" w:hAnsi="Aptos"/>
        </w:rPr>
        <w:t>Providing a platform for enhanced or premium schemes, for example:</w:t>
      </w:r>
    </w:p>
    <w:p w14:paraId="7B1BA334" w14:textId="77777777" w:rsidR="00184755" w:rsidRDefault="00184755" w:rsidP="00184755">
      <w:pPr>
        <w:pStyle w:val="ListParagraph"/>
        <w:numPr>
          <w:ilvl w:val="1"/>
          <w:numId w:val="39"/>
        </w:numPr>
        <w:spacing w:line="278" w:lineRule="auto"/>
        <w:ind w:left="1434" w:hanging="357"/>
        <w:rPr>
          <w:rFonts w:ascii="Aptos" w:eastAsia="Aptos" w:hAnsi="Aptos" w:cs="Aptos"/>
        </w:rPr>
      </w:pPr>
      <w:hyperlink r:id="rId20" w:history="1">
        <w:r w:rsidRPr="00DE36A9">
          <w:rPr>
            <w:rStyle w:val="Hyperlink"/>
            <w:rFonts w:ascii="Aptos" w:eastAsia="Aptos" w:hAnsi="Aptos" w:cs="Aptos"/>
            <w:color w:val="467886"/>
          </w:rPr>
          <w:t>Red Tractor’s new tiered welfare standards and labelling for UK pig meat</w:t>
        </w:r>
      </w:hyperlink>
      <w:r w:rsidRPr="00DE36A9">
        <w:rPr>
          <w:rFonts w:ascii="Aptos" w:eastAsia="Aptos" w:hAnsi="Aptos" w:cs="Aptos"/>
        </w:rPr>
        <w:t xml:space="preserve"> aim to reduce complexity for producers and improve consumer choice</w:t>
      </w:r>
    </w:p>
    <w:p w14:paraId="6E50FD98" w14:textId="77777777" w:rsidR="00184755" w:rsidRPr="00E057F7" w:rsidRDefault="00184755" w:rsidP="00184755">
      <w:pPr>
        <w:pStyle w:val="ListParagraph"/>
        <w:numPr>
          <w:ilvl w:val="1"/>
          <w:numId w:val="39"/>
        </w:numPr>
        <w:spacing w:line="278" w:lineRule="auto"/>
        <w:ind w:left="1434" w:hanging="357"/>
        <w:rPr>
          <w:rFonts w:ascii="Aptos" w:eastAsia="Aptos" w:hAnsi="Aptos" w:cs="Aptos"/>
        </w:rPr>
      </w:pPr>
      <w:r w:rsidRPr="00E057F7">
        <w:rPr>
          <w:rFonts w:ascii="Aptos" w:eastAsia="Aptos" w:hAnsi="Aptos" w:cs="Aptos"/>
        </w:rPr>
        <w:t xml:space="preserve">LEAF Marque certification allows fresh produce, arable, floriculture and livestock farmers to demonstrate a strong commitment to sustainable practices.  It is a required scheme for most major UK grocery retailers, and is recognized by global supply chains including Albert Heijn, Walmart and Lidl, as well as financial institutions including HSBC and Barclays Banks, offering preferential financial products to farmers with LEAF Marque certification. </w:t>
      </w:r>
    </w:p>
    <w:p w14:paraId="341DAC3A" w14:textId="77777777" w:rsidR="00184755" w:rsidRPr="00DE36A9" w:rsidRDefault="00184755" w:rsidP="00184755">
      <w:pPr>
        <w:pStyle w:val="ListParagraph"/>
        <w:spacing w:line="278" w:lineRule="auto"/>
        <w:ind w:left="1440"/>
        <w:rPr>
          <w:rFonts w:ascii="Aptos" w:eastAsia="Aptos" w:hAnsi="Aptos" w:cs="Aptos"/>
        </w:rPr>
      </w:pPr>
    </w:p>
    <w:p w14:paraId="7164F838" w14:textId="77777777" w:rsidR="00184755" w:rsidRPr="00533C13" w:rsidRDefault="00184755" w:rsidP="00184755">
      <w:pPr>
        <w:pStyle w:val="ListParagraph"/>
        <w:numPr>
          <w:ilvl w:val="0"/>
          <w:numId w:val="39"/>
        </w:numPr>
        <w:spacing w:after="0" w:line="278" w:lineRule="auto"/>
        <w:ind w:left="714" w:hanging="357"/>
        <w:contextualSpacing w:val="0"/>
        <w:rPr>
          <w:rFonts w:ascii="Aptos" w:hAnsi="Aptos"/>
        </w:rPr>
      </w:pPr>
      <w:r w:rsidRPr="4E315F89">
        <w:rPr>
          <w:rFonts w:ascii="Aptos" w:hAnsi="Aptos"/>
        </w:rPr>
        <w:t>Helping the industry demonstrate responsibility and good practice, for example:</w:t>
      </w:r>
    </w:p>
    <w:p w14:paraId="499383AA" w14:textId="77777777" w:rsidR="00184755" w:rsidRPr="00DE36A9" w:rsidRDefault="00184755" w:rsidP="00184755">
      <w:pPr>
        <w:pStyle w:val="ListParagraph"/>
        <w:numPr>
          <w:ilvl w:val="1"/>
          <w:numId w:val="39"/>
        </w:numPr>
        <w:rPr>
          <w:rFonts w:ascii="Aptos" w:eastAsia="Aptos" w:hAnsi="Aptos" w:cs="Aptos"/>
        </w:rPr>
      </w:pPr>
      <w:r w:rsidRPr="00DE36A9">
        <w:rPr>
          <w:rFonts w:ascii="Aptos" w:eastAsia="Aptos" w:hAnsi="Aptos" w:cs="Aptos"/>
        </w:rPr>
        <w:t>The collaborative development of a robust industry-led approach to reduce ammonia emissions (The Option 4 Ammonia Mitigation scheme) means that a ban on the use of urea fertiliser in England has been avoided. The requirements of the scheme were incorporated into Red Tractor standards in 2024.</w:t>
      </w:r>
    </w:p>
    <w:p w14:paraId="3B2EEC65" w14:textId="77777777" w:rsidR="00184755" w:rsidRPr="00533C13" w:rsidRDefault="00184755" w:rsidP="00184755">
      <w:pPr>
        <w:rPr>
          <w:rFonts w:ascii="Aptos" w:hAnsi="Aptos"/>
        </w:rPr>
      </w:pPr>
      <w:r w:rsidRPr="4E3CDC26">
        <w:rPr>
          <w:rFonts w:ascii="Aptos" w:hAnsi="Aptos"/>
        </w:rPr>
        <w:lastRenderedPageBreak/>
        <w:t xml:space="preserve">For assurance to remain effective, the link between </w:t>
      </w:r>
      <w:r>
        <w:rPr>
          <w:rFonts w:ascii="Aptos" w:hAnsi="Aptos"/>
        </w:rPr>
        <w:t xml:space="preserve">sector </w:t>
      </w:r>
      <w:r w:rsidRPr="4E3CDC26">
        <w:rPr>
          <w:rFonts w:ascii="Aptos" w:hAnsi="Aptos"/>
        </w:rPr>
        <w:t>requirements</w:t>
      </w:r>
      <w:r>
        <w:rPr>
          <w:rFonts w:ascii="Aptos" w:hAnsi="Aptos"/>
        </w:rPr>
        <w:t xml:space="preserve"> </w:t>
      </w:r>
      <w:r w:rsidRPr="4E3CDC26">
        <w:rPr>
          <w:rFonts w:ascii="Aptos" w:hAnsi="Aptos"/>
        </w:rPr>
        <w:t>and value must be clear. Farmers need to understand whether assurance is providing access, reducing risk or delivering a premium - and on what basis.</w:t>
      </w:r>
    </w:p>
    <w:p w14:paraId="122FBE27" w14:textId="77777777" w:rsidR="00184755" w:rsidRPr="00533C13" w:rsidRDefault="00184755" w:rsidP="00184755">
      <w:pPr>
        <w:pStyle w:val="Heading2"/>
      </w:pPr>
      <w:r w:rsidRPr="00533C13">
        <w:t>In summary</w:t>
      </w:r>
    </w:p>
    <w:p w14:paraId="4C9EA161" w14:textId="77777777" w:rsidR="00184755" w:rsidRPr="00533C13" w:rsidRDefault="00184755" w:rsidP="00184755">
      <w:pPr>
        <w:rPr>
          <w:rFonts w:ascii="Aptos" w:hAnsi="Aptos"/>
        </w:rPr>
      </w:pPr>
      <w:r w:rsidRPr="00533C13">
        <w:rPr>
          <w:rFonts w:ascii="Aptos" w:hAnsi="Aptos"/>
        </w:rPr>
        <w:t>Farm assurance is a shared asset for British agriculture. It underpins confidence, protects markets and supports the reputation of the sector.</w:t>
      </w:r>
    </w:p>
    <w:p w14:paraId="7CA1DD74" w14:textId="77777777" w:rsidR="00184755" w:rsidRPr="00533C13" w:rsidRDefault="00184755" w:rsidP="00184755">
      <w:pPr>
        <w:rPr>
          <w:rFonts w:ascii="Aptos" w:hAnsi="Aptos"/>
        </w:rPr>
      </w:pPr>
      <w:r w:rsidRPr="7B0EC494">
        <w:rPr>
          <w:rFonts w:ascii="Aptos" w:hAnsi="Aptos"/>
        </w:rPr>
        <w:t>It works best when its purpose is clear, its scope is defined and its demands are proportionate. A trusted and proportionate set of foundational standards provides the base on which enhanced standards and market opportunities can sit.</w:t>
      </w:r>
    </w:p>
    <w:p w14:paraId="68B99576" w14:textId="77777777" w:rsidR="00184755" w:rsidRPr="00533C13" w:rsidRDefault="00184755" w:rsidP="00184755">
      <w:pPr>
        <w:rPr>
          <w:rFonts w:ascii="Aptos" w:hAnsi="Aptos"/>
        </w:rPr>
      </w:pPr>
      <w:r w:rsidRPr="00533C13">
        <w:rPr>
          <w:rFonts w:ascii="Aptos" w:hAnsi="Aptos"/>
        </w:rPr>
        <w:t xml:space="preserve">Clarity on purpose and scope </w:t>
      </w:r>
      <w:r w:rsidRPr="7052A418">
        <w:rPr>
          <w:rFonts w:ascii="Aptos" w:hAnsi="Aptos"/>
        </w:rPr>
        <w:t xml:space="preserve">strengthens </w:t>
      </w:r>
      <w:r w:rsidRPr="00533C13">
        <w:rPr>
          <w:rFonts w:ascii="Aptos" w:hAnsi="Aptos"/>
        </w:rPr>
        <w:t xml:space="preserve">assurance. </w:t>
      </w:r>
      <w:r w:rsidRPr="7052A418">
        <w:rPr>
          <w:rFonts w:ascii="Aptos" w:hAnsi="Aptos"/>
        </w:rPr>
        <w:t>It demonstrates</w:t>
      </w:r>
      <w:r w:rsidRPr="00533C13">
        <w:rPr>
          <w:rFonts w:ascii="Aptos" w:hAnsi="Aptos"/>
        </w:rPr>
        <w:t xml:space="preserve"> the</w:t>
      </w:r>
      <w:r w:rsidRPr="7052A418">
        <w:rPr>
          <w:rFonts w:ascii="Aptos" w:hAnsi="Aptos"/>
        </w:rPr>
        <w:t xml:space="preserve"> value </w:t>
      </w:r>
      <w:r w:rsidRPr="00533C13">
        <w:rPr>
          <w:rFonts w:ascii="Aptos" w:hAnsi="Aptos"/>
        </w:rPr>
        <w:t xml:space="preserve">and </w:t>
      </w:r>
      <w:r w:rsidRPr="7052A418">
        <w:rPr>
          <w:rFonts w:ascii="Aptos" w:hAnsi="Aptos"/>
        </w:rPr>
        <w:t>ensures all have confidence in</w:t>
      </w:r>
      <w:r w:rsidRPr="00533C13">
        <w:rPr>
          <w:rFonts w:ascii="Aptos" w:hAnsi="Aptos"/>
        </w:rPr>
        <w:t xml:space="preserve"> it.</w:t>
      </w:r>
    </w:p>
    <w:p w14:paraId="32A7C67B" w14:textId="77777777" w:rsidR="00184755" w:rsidRPr="00E62DEB" w:rsidRDefault="00184755" w:rsidP="00184755">
      <w:pPr>
        <w:rPr>
          <w:rFonts w:ascii="Aptos" w:hAnsi="Aptos"/>
          <w:highlight w:val="yellow"/>
        </w:rPr>
      </w:pPr>
    </w:p>
    <w:p w14:paraId="07F69184" w14:textId="77777777" w:rsidR="00C93514" w:rsidRPr="00184755" w:rsidRDefault="00C93514" w:rsidP="00184755"/>
    <w:sectPr w:rsidR="00C93514" w:rsidRPr="00184755" w:rsidSect="00525FA9">
      <w:headerReference w:type="even" r:id="rId21"/>
      <w:headerReference w:type="default" r:id="rId22"/>
      <w:footerReference w:type="even" r:id="rId23"/>
      <w:footerReference w:type="default" r:id="rId24"/>
      <w:headerReference w:type="first" r:id="rId25"/>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88FB" w14:textId="77777777" w:rsidR="00623B9B" w:rsidRDefault="00623B9B" w:rsidP="00F86FBC">
      <w:r>
        <w:separator/>
      </w:r>
    </w:p>
    <w:p w14:paraId="33F3B42A" w14:textId="77777777" w:rsidR="00623B9B" w:rsidRDefault="00623B9B"/>
  </w:endnote>
  <w:endnote w:type="continuationSeparator" w:id="0">
    <w:p w14:paraId="4A1B7D20" w14:textId="77777777" w:rsidR="00623B9B" w:rsidRDefault="00623B9B" w:rsidP="00F86FBC">
      <w:r>
        <w:continuationSeparator/>
      </w:r>
    </w:p>
    <w:p w14:paraId="1B9C12BD" w14:textId="77777777" w:rsidR="00623B9B" w:rsidRDefault="00623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Content>
      <w:p w14:paraId="11DCDCFE"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6AE06" w14:textId="77777777" w:rsidR="00F41E71" w:rsidRDefault="00F41E71" w:rsidP="00F86FBC">
    <w:pPr>
      <w:pStyle w:val="Footer"/>
    </w:pPr>
  </w:p>
  <w:p w14:paraId="3E1F0D66"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B0F6" w14:textId="77777777" w:rsidR="00F41E71" w:rsidRPr="00B05791" w:rsidRDefault="00F41E71" w:rsidP="00B05791">
    <w:pPr>
      <w:pStyle w:val="Footer"/>
      <w:tabs>
        <w:tab w:val="center" w:pos="4395"/>
      </w:tabs>
      <w:rPr>
        <w:sz w:val="24"/>
      </w:rPr>
    </w:pPr>
  </w:p>
  <w:p w14:paraId="1BBDA6E9" w14:textId="77777777" w:rsidR="00F2259C" w:rsidRDefault="00F2259C" w:rsidP="00F86FBC">
    <w:pPr>
      <w:pStyle w:val="Footer"/>
    </w:pPr>
  </w:p>
  <w:p w14:paraId="55B8EE71"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92BF" w14:textId="77777777" w:rsidR="00623B9B" w:rsidRDefault="00623B9B" w:rsidP="00F86FBC">
      <w:r>
        <w:separator/>
      </w:r>
    </w:p>
    <w:p w14:paraId="119C9EA7" w14:textId="77777777" w:rsidR="00623B9B" w:rsidRDefault="00623B9B"/>
  </w:footnote>
  <w:footnote w:type="continuationSeparator" w:id="0">
    <w:p w14:paraId="698DAB44" w14:textId="77777777" w:rsidR="00623B9B" w:rsidRDefault="00623B9B" w:rsidP="00F86FBC">
      <w:r>
        <w:continuationSeparator/>
      </w:r>
    </w:p>
    <w:p w14:paraId="7AF02FD5" w14:textId="77777777" w:rsidR="00623B9B" w:rsidRDefault="00623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E553" w14:textId="5F5FAFB6" w:rsidR="00184755" w:rsidRDefault="00184755">
    <w:pPr>
      <w:pStyle w:val="Header"/>
    </w:pPr>
    <w:r>
      <w:rPr>
        <w:noProof/>
      </w:rPr>
      <mc:AlternateContent>
        <mc:Choice Requires="wps">
          <w:drawing>
            <wp:anchor distT="0" distB="0" distL="0" distR="0" simplePos="0" relativeHeight="251665408" behindDoc="0" locked="0" layoutInCell="1" allowOverlap="1" wp14:anchorId="74E4CB74" wp14:editId="3C211A0A">
              <wp:simplePos x="635" y="635"/>
              <wp:positionH relativeFrom="page">
                <wp:align>center</wp:align>
              </wp:positionH>
              <wp:positionV relativeFrom="page">
                <wp:align>top</wp:align>
              </wp:positionV>
              <wp:extent cx="622300" cy="407035"/>
              <wp:effectExtent l="0" t="0" r="6350" b="12065"/>
              <wp:wrapNone/>
              <wp:docPr id="199758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7CE0748F" w14:textId="49E47F45" w:rsidR="00184755" w:rsidRPr="00184755" w:rsidRDefault="00184755" w:rsidP="00184755">
                          <w:pPr>
                            <w:spacing w:after="0"/>
                            <w:rPr>
                              <w:rFonts w:ascii="Aptos" w:eastAsia="Aptos" w:hAnsi="Aptos" w:cs="Aptos"/>
                              <w:noProof/>
                              <w:color w:val="000000"/>
                            </w:rPr>
                          </w:pPr>
                          <w:r w:rsidRPr="0018475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4CB74" id="_x0000_t202" coordsize="21600,21600" o:spt="202" path="m,l,21600r21600,l21600,xe">
              <v:stroke joinstyle="miter"/>
              <v:path gradientshapeok="t" o:connecttype="rect"/>
            </v:shapetype>
            <v:shape id="Text Box 2" o:spid="_x0000_s1026" type="#_x0000_t202" alt="OFFICIAL" style="position:absolute;margin-left:0;margin-top:0;width:49pt;height:32.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" filled="f" stroked="f">
              <v:textbox style="mso-fit-shape-to-text:t" inset="0,15pt,0,0">
                <w:txbxContent>
                  <w:p w14:paraId="7CE0748F" w14:textId="49E47F45" w:rsidR="00184755" w:rsidRPr="00184755" w:rsidRDefault="00184755" w:rsidP="00184755">
                    <w:pPr>
                      <w:spacing w:after="0"/>
                      <w:rPr>
                        <w:rFonts w:ascii="Aptos" w:eastAsia="Aptos" w:hAnsi="Aptos" w:cs="Aptos"/>
                        <w:noProof/>
                        <w:color w:val="000000"/>
                      </w:rPr>
                    </w:pPr>
                    <w:r w:rsidRPr="0018475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7468" w14:textId="25D1DA93" w:rsidR="005D76FD" w:rsidRDefault="00184755" w:rsidP="00F86FBC">
    <w:pPr>
      <w:pStyle w:val="Header"/>
    </w:pPr>
    <w:r>
      <w:rPr>
        <w:rFonts w:ascii="Ubuntu" w:eastAsiaTheme="minorHAnsi" w:hAnsi="Ubuntu" w:cs="Arial"/>
        <w:noProof/>
        <w:color w:val="0090D4"/>
        <w:sz w:val="40"/>
        <w:szCs w:val="36"/>
        <w:lang w:eastAsia="en-US"/>
      </w:rPr>
      <mc:AlternateContent>
        <mc:Choice Requires="wps">
          <w:drawing>
            <wp:anchor distT="0" distB="0" distL="0" distR="0" simplePos="0" relativeHeight="251666432" behindDoc="0" locked="0" layoutInCell="1" allowOverlap="1" wp14:anchorId="596D77B6" wp14:editId="2BF6F4EE">
              <wp:simplePos x="914400" y="447675"/>
              <wp:positionH relativeFrom="page">
                <wp:align>center</wp:align>
              </wp:positionH>
              <wp:positionV relativeFrom="page">
                <wp:align>top</wp:align>
              </wp:positionV>
              <wp:extent cx="622300" cy="407035"/>
              <wp:effectExtent l="0" t="0" r="6350" b="12065"/>
              <wp:wrapNone/>
              <wp:docPr id="1355588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1BDE366C" w14:textId="6E614CF2" w:rsidR="00184755" w:rsidRPr="00184755" w:rsidRDefault="00184755" w:rsidP="00184755">
                          <w:pPr>
                            <w:spacing w:after="0"/>
                            <w:rPr>
                              <w:rFonts w:ascii="Aptos" w:eastAsia="Aptos" w:hAnsi="Aptos" w:cs="Aptos"/>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D77B6" id="_x0000_t202" coordsize="21600,21600" o:spt="202" path="m,l,21600r21600,l21600,xe">
              <v:stroke joinstyle="miter"/>
              <v:path gradientshapeok="t" o:connecttype="rect"/>
            </v:shapetype>
            <v:shape id="Text Box 3" o:spid="_x0000_s1027" type="#_x0000_t202" alt="OFFICIAL" style="position:absolute;margin-left:0;margin-top:0;width:49pt;height:32.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" filled="f" stroked="f">
              <v:textbox style="mso-fit-shape-to-text:t" inset="0,15pt,0,0">
                <w:txbxContent>
                  <w:p w14:paraId="1BDE366C" w14:textId="6E614CF2" w:rsidR="00184755" w:rsidRPr="00184755" w:rsidRDefault="00184755" w:rsidP="00184755">
                    <w:pPr>
                      <w:spacing w:after="0"/>
                      <w:rPr>
                        <w:rFonts w:ascii="Aptos" w:eastAsia="Aptos" w:hAnsi="Aptos" w:cs="Aptos"/>
                        <w:noProof/>
                        <w:color w:val="000000"/>
                      </w:rPr>
                    </w:pPr>
                  </w:p>
                </w:txbxContent>
              </v:textbox>
              <w10:wrap anchorx="page" anchory="page"/>
            </v:shape>
          </w:pict>
        </mc:Fallback>
      </mc:AlternateContent>
    </w:r>
  </w:p>
  <w:p w14:paraId="09399067" w14:textId="77777777" w:rsidR="005D76FD" w:rsidRDefault="005D76FD" w:rsidP="00F86FBC">
    <w:pPr>
      <w:pStyle w:val="Header"/>
    </w:pPr>
  </w:p>
  <w:p w14:paraId="00657200"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9351" w14:textId="34A22345" w:rsidR="00184755" w:rsidRDefault="00184755">
    <w:pPr>
      <w:pStyle w:val="Header"/>
    </w:pPr>
    <w:r>
      <w:rPr>
        <w:noProof/>
      </w:rPr>
      <mc:AlternateContent>
        <mc:Choice Requires="wps">
          <w:drawing>
            <wp:anchor distT="0" distB="0" distL="0" distR="0" simplePos="0" relativeHeight="251664384" behindDoc="0" locked="0" layoutInCell="1" allowOverlap="1" wp14:anchorId="4B2FD8EB" wp14:editId="160D17C4">
              <wp:simplePos x="635" y="635"/>
              <wp:positionH relativeFrom="page">
                <wp:align>center</wp:align>
              </wp:positionH>
              <wp:positionV relativeFrom="page">
                <wp:align>top</wp:align>
              </wp:positionV>
              <wp:extent cx="622300" cy="407035"/>
              <wp:effectExtent l="0" t="0" r="6350" b="12065"/>
              <wp:wrapNone/>
              <wp:docPr id="8032731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2BE35A94" w14:textId="4C16B94E" w:rsidR="00184755" w:rsidRPr="00184755" w:rsidRDefault="00184755" w:rsidP="00184755">
                          <w:pPr>
                            <w:spacing w:after="0"/>
                            <w:rPr>
                              <w:rFonts w:ascii="Aptos" w:eastAsia="Aptos" w:hAnsi="Aptos" w:cs="Aptos"/>
                              <w:noProof/>
                              <w:color w:val="000000"/>
                            </w:rPr>
                          </w:pPr>
                          <w:r w:rsidRPr="0018475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2FD8EB" id="_x0000_t202" coordsize="21600,21600" o:spt="202" path="m,l,21600r21600,l21600,xe">
              <v:stroke joinstyle="miter"/>
              <v:path gradientshapeok="t" o:connecttype="rect"/>
            </v:shapetype>
            <v:shape id="Text Box 1" o:spid="_x0000_s1028" type="#_x0000_t202" alt="OFFICIAL" style="position:absolute;margin-left:0;margin-top:0;width:49pt;height:32.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" filled="f" stroked="f">
              <v:textbox style="mso-fit-shape-to-text:t" inset="0,15pt,0,0">
                <w:txbxContent>
                  <w:p w14:paraId="2BE35A94" w14:textId="4C16B94E" w:rsidR="00184755" w:rsidRPr="00184755" w:rsidRDefault="00184755" w:rsidP="00184755">
                    <w:pPr>
                      <w:spacing w:after="0"/>
                      <w:rPr>
                        <w:rFonts w:ascii="Aptos" w:eastAsia="Aptos" w:hAnsi="Aptos" w:cs="Aptos"/>
                        <w:noProof/>
                        <w:color w:val="000000"/>
                      </w:rPr>
                    </w:pPr>
                    <w:r w:rsidRPr="0018475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5pt;height:203.1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121FBE4"/>
    <w:multiLevelType w:val="hybridMultilevel"/>
    <w:tmpl w:val="AF6E91CC"/>
    <w:lvl w:ilvl="0" w:tplc="D57456F8">
      <w:start w:val="1"/>
      <w:numFmt w:val="bullet"/>
      <w:lvlText w:val=""/>
      <w:lvlJc w:val="left"/>
      <w:pPr>
        <w:ind w:left="720" w:hanging="360"/>
      </w:pPr>
      <w:rPr>
        <w:rFonts w:ascii="Symbol" w:eastAsia="Symbol" w:hAnsi="Symbol" w:cs="Symbol"/>
      </w:rPr>
    </w:lvl>
    <w:lvl w:ilvl="1" w:tplc="F20C4958">
      <w:start w:val="1"/>
      <w:numFmt w:val="bullet"/>
      <w:lvlText w:val="o"/>
      <w:lvlJc w:val="left"/>
      <w:pPr>
        <w:ind w:left="1440" w:hanging="360"/>
      </w:pPr>
      <w:rPr>
        <w:rFonts w:ascii="Courier New" w:eastAsia="Courier New" w:hAnsi="Courier New" w:cs="Courier New"/>
      </w:rPr>
    </w:lvl>
    <w:lvl w:ilvl="2" w:tplc="015EE306">
      <w:start w:val="1"/>
      <w:numFmt w:val="bullet"/>
      <w:lvlText w:val=""/>
      <w:lvlJc w:val="left"/>
      <w:pPr>
        <w:ind w:left="2160" w:hanging="360"/>
      </w:pPr>
      <w:rPr>
        <w:rFonts w:ascii="Wingdings" w:eastAsia="Wingdings" w:hAnsi="Wingdings" w:cs="Wingdings"/>
      </w:rPr>
    </w:lvl>
    <w:lvl w:ilvl="3" w:tplc="1F185396">
      <w:start w:val="1"/>
      <w:numFmt w:val="bullet"/>
      <w:lvlText w:val=""/>
      <w:lvlJc w:val="left"/>
      <w:pPr>
        <w:ind w:left="2880" w:hanging="360"/>
      </w:pPr>
      <w:rPr>
        <w:rFonts w:ascii="Symbol" w:eastAsia="Symbol" w:hAnsi="Symbol" w:cs="Symbol"/>
      </w:rPr>
    </w:lvl>
    <w:lvl w:ilvl="4" w:tplc="25941C36">
      <w:start w:val="1"/>
      <w:numFmt w:val="bullet"/>
      <w:lvlText w:val="o"/>
      <w:lvlJc w:val="left"/>
      <w:pPr>
        <w:ind w:left="3600" w:hanging="360"/>
      </w:pPr>
      <w:rPr>
        <w:rFonts w:ascii="Courier New" w:eastAsia="Courier New" w:hAnsi="Courier New" w:cs="Courier New"/>
      </w:rPr>
    </w:lvl>
    <w:lvl w:ilvl="5" w:tplc="8CB8D682">
      <w:start w:val="1"/>
      <w:numFmt w:val="bullet"/>
      <w:lvlText w:val=""/>
      <w:lvlJc w:val="left"/>
      <w:pPr>
        <w:ind w:left="4320" w:hanging="360"/>
      </w:pPr>
      <w:rPr>
        <w:rFonts w:ascii="Wingdings" w:eastAsia="Wingdings" w:hAnsi="Wingdings" w:cs="Wingdings"/>
      </w:rPr>
    </w:lvl>
    <w:lvl w:ilvl="6" w:tplc="F5BE3FF4">
      <w:start w:val="1"/>
      <w:numFmt w:val="bullet"/>
      <w:lvlText w:val=""/>
      <w:lvlJc w:val="left"/>
      <w:pPr>
        <w:ind w:left="5040" w:hanging="360"/>
      </w:pPr>
      <w:rPr>
        <w:rFonts w:ascii="Symbol" w:eastAsia="Symbol" w:hAnsi="Symbol" w:cs="Symbol"/>
      </w:rPr>
    </w:lvl>
    <w:lvl w:ilvl="7" w:tplc="BD306512">
      <w:start w:val="1"/>
      <w:numFmt w:val="bullet"/>
      <w:lvlText w:val="o"/>
      <w:lvlJc w:val="left"/>
      <w:pPr>
        <w:ind w:left="5760" w:hanging="360"/>
      </w:pPr>
      <w:rPr>
        <w:rFonts w:ascii="Courier New" w:eastAsia="Courier New" w:hAnsi="Courier New" w:cs="Courier New"/>
      </w:rPr>
    </w:lvl>
    <w:lvl w:ilvl="8" w:tplc="D004E570">
      <w:start w:val="1"/>
      <w:numFmt w:val="bullet"/>
      <w:lvlText w:val=""/>
      <w:lvlJc w:val="left"/>
      <w:pPr>
        <w:ind w:left="6480" w:hanging="360"/>
      </w:pPr>
      <w:rPr>
        <w:rFonts w:ascii="Wingdings" w:eastAsia="Wingdings" w:hAnsi="Wingdings" w:cs="Wingdings"/>
      </w:rPr>
    </w:lvl>
  </w:abstractNum>
  <w:abstractNum w:abstractNumId="20" w15:restartNumberingAfterBreak="0">
    <w:nsid w:val="17FD6A29"/>
    <w:multiLevelType w:val="hybridMultilevel"/>
    <w:tmpl w:val="51E427DC"/>
    <w:lvl w:ilvl="0" w:tplc="8E66677C">
      <w:start w:val="1"/>
      <w:numFmt w:val="decimal"/>
      <w:lvlText w:val="%1."/>
      <w:lvlJc w:val="left"/>
      <w:pPr>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2"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F28188F"/>
    <w:multiLevelType w:val="hybridMultilevel"/>
    <w:tmpl w:val="0AA256F8"/>
    <w:lvl w:ilvl="0" w:tplc="FBF21B82">
      <w:start w:val="1"/>
      <w:numFmt w:val="bullet"/>
      <w:lvlText w:val=""/>
      <w:lvlJc w:val="left"/>
      <w:pPr>
        <w:ind w:left="720" w:hanging="360"/>
      </w:pPr>
      <w:rPr>
        <w:rFonts w:ascii="Symbol" w:eastAsia="Symbol" w:hAnsi="Symbol" w:cs="Symbol"/>
      </w:rPr>
    </w:lvl>
    <w:lvl w:ilvl="1" w:tplc="ADDA1A6A">
      <w:start w:val="1"/>
      <w:numFmt w:val="bullet"/>
      <w:lvlText w:val="o"/>
      <w:lvlJc w:val="left"/>
      <w:pPr>
        <w:ind w:left="1440" w:hanging="360"/>
      </w:pPr>
      <w:rPr>
        <w:rFonts w:ascii="Courier New" w:eastAsia="Courier New" w:hAnsi="Courier New" w:cs="Courier New"/>
      </w:rPr>
    </w:lvl>
    <w:lvl w:ilvl="2" w:tplc="DD245440">
      <w:start w:val="1"/>
      <w:numFmt w:val="bullet"/>
      <w:lvlText w:val=""/>
      <w:lvlJc w:val="left"/>
      <w:pPr>
        <w:ind w:left="2160" w:hanging="360"/>
      </w:pPr>
      <w:rPr>
        <w:rFonts w:ascii="Wingdings" w:eastAsia="Wingdings" w:hAnsi="Wingdings" w:cs="Wingdings"/>
      </w:rPr>
    </w:lvl>
    <w:lvl w:ilvl="3" w:tplc="7220ACC2">
      <w:start w:val="1"/>
      <w:numFmt w:val="bullet"/>
      <w:lvlText w:val=""/>
      <w:lvlJc w:val="left"/>
      <w:pPr>
        <w:ind w:left="2880" w:hanging="360"/>
      </w:pPr>
      <w:rPr>
        <w:rFonts w:ascii="Symbol" w:eastAsia="Symbol" w:hAnsi="Symbol" w:cs="Symbol"/>
      </w:rPr>
    </w:lvl>
    <w:lvl w:ilvl="4" w:tplc="18EECAD4">
      <w:start w:val="1"/>
      <w:numFmt w:val="bullet"/>
      <w:lvlText w:val="o"/>
      <w:lvlJc w:val="left"/>
      <w:pPr>
        <w:ind w:left="3600" w:hanging="360"/>
      </w:pPr>
      <w:rPr>
        <w:rFonts w:ascii="Courier New" w:eastAsia="Courier New" w:hAnsi="Courier New" w:cs="Courier New"/>
      </w:rPr>
    </w:lvl>
    <w:lvl w:ilvl="5" w:tplc="B62673B2">
      <w:start w:val="1"/>
      <w:numFmt w:val="bullet"/>
      <w:lvlText w:val=""/>
      <w:lvlJc w:val="left"/>
      <w:pPr>
        <w:ind w:left="4320" w:hanging="360"/>
      </w:pPr>
      <w:rPr>
        <w:rFonts w:ascii="Wingdings" w:eastAsia="Wingdings" w:hAnsi="Wingdings" w:cs="Wingdings"/>
      </w:rPr>
    </w:lvl>
    <w:lvl w:ilvl="6" w:tplc="DF7E96EC">
      <w:start w:val="1"/>
      <w:numFmt w:val="bullet"/>
      <w:lvlText w:val=""/>
      <w:lvlJc w:val="left"/>
      <w:pPr>
        <w:ind w:left="5040" w:hanging="360"/>
      </w:pPr>
      <w:rPr>
        <w:rFonts w:ascii="Symbol" w:eastAsia="Symbol" w:hAnsi="Symbol" w:cs="Symbol"/>
      </w:rPr>
    </w:lvl>
    <w:lvl w:ilvl="7" w:tplc="5712D63C">
      <w:start w:val="1"/>
      <w:numFmt w:val="bullet"/>
      <w:lvlText w:val="o"/>
      <w:lvlJc w:val="left"/>
      <w:pPr>
        <w:ind w:left="5760" w:hanging="360"/>
      </w:pPr>
      <w:rPr>
        <w:rFonts w:ascii="Courier New" w:eastAsia="Courier New" w:hAnsi="Courier New" w:cs="Courier New"/>
      </w:rPr>
    </w:lvl>
    <w:lvl w:ilvl="8" w:tplc="63C4D57A">
      <w:start w:val="1"/>
      <w:numFmt w:val="bullet"/>
      <w:lvlText w:val=""/>
      <w:lvlJc w:val="left"/>
      <w:pPr>
        <w:ind w:left="6480" w:hanging="360"/>
      </w:pPr>
      <w:rPr>
        <w:rFonts w:ascii="Wingdings" w:eastAsia="Wingdings" w:hAnsi="Wingdings" w:cs="Wingdings"/>
      </w:r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5FA6A8"/>
    <w:multiLevelType w:val="hybridMultilevel"/>
    <w:tmpl w:val="E1DC49EC"/>
    <w:lvl w:ilvl="0" w:tplc="6F4636C6">
      <w:start w:val="1"/>
      <w:numFmt w:val="bullet"/>
      <w:lvlText w:val=""/>
      <w:lvlJc w:val="left"/>
      <w:pPr>
        <w:ind w:left="720" w:hanging="360"/>
      </w:pPr>
      <w:rPr>
        <w:rFonts w:ascii="Symbol" w:eastAsia="Symbol" w:hAnsi="Symbol" w:cs="Symbol"/>
      </w:rPr>
    </w:lvl>
    <w:lvl w:ilvl="1" w:tplc="AF3C45DA">
      <w:start w:val="1"/>
      <w:numFmt w:val="bullet"/>
      <w:lvlText w:val="o"/>
      <w:lvlJc w:val="left"/>
      <w:pPr>
        <w:ind w:left="1440" w:hanging="360"/>
      </w:pPr>
      <w:rPr>
        <w:rFonts w:ascii="Courier New" w:eastAsia="Courier New" w:hAnsi="Courier New" w:cs="Courier New"/>
      </w:rPr>
    </w:lvl>
    <w:lvl w:ilvl="2" w:tplc="1BFA859C">
      <w:start w:val="1"/>
      <w:numFmt w:val="bullet"/>
      <w:lvlText w:val=""/>
      <w:lvlJc w:val="left"/>
      <w:pPr>
        <w:ind w:left="2160" w:hanging="360"/>
      </w:pPr>
      <w:rPr>
        <w:rFonts w:ascii="Wingdings" w:eastAsia="Wingdings" w:hAnsi="Wingdings" w:cs="Wingdings"/>
      </w:rPr>
    </w:lvl>
    <w:lvl w:ilvl="3" w:tplc="4496AAD8">
      <w:start w:val="1"/>
      <w:numFmt w:val="bullet"/>
      <w:lvlText w:val=""/>
      <w:lvlJc w:val="left"/>
      <w:pPr>
        <w:ind w:left="2880" w:hanging="360"/>
      </w:pPr>
      <w:rPr>
        <w:rFonts w:ascii="Symbol" w:eastAsia="Symbol" w:hAnsi="Symbol" w:cs="Symbol"/>
      </w:rPr>
    </w:lvl>
    <w:lvl w:ilvl="4" w:tplc="A0126382">
      <w:start w:val="1"/>
      <w:numFmt w:val="bullet"/>
      <w:lvlText w:val="o"/>
      <w:lvlJc w:val="left"/>
      <w:pPr>
        <w:ind w:left="3600" w:hanging="360"/>
      </w:pPr>
      <w:rPr>
        <w:rFonts w:ascii="Courier New" w:eastAsia="Courier New" w:hAnsi="Courier New" w:cs="Courier New"/>
      </w:rPr>
    </w:lvl>
    <w:lvl w:ilvl="5" w:tplc="EDBCD1B2">
      <w:start w:val="1"/>
      <w:numFmt w:val="bullet"/>
      <w:lvlText w:val=""/>
      <w:lvlJc w:val="left"/>
      <w:pPr>
        <w:ind w:left="4320" w:hanging="360"/>
      </w:pPr>
      <w:rPr>
        <w:rFonts w:ascii="Wingdings" w:eastAsia="Wingdings" w:hAnsi="Wingdings" w:cs="Wingdings"/>
      </w:rPr>
    </w:lvl>
    <w:lvl w:ilvl="6" w:tplc="2A383180">
      <w:start w:val="1"/>
      <w:numFmt w:val="bullet"/>
      <w:lvlText w:val=""/>
      <w:lvlJc w:val="left"/>
      <w:pPr>
        <w:ind w:left="5040" w:hanging="360"/>
      </w:pPr>
      <w:rPr>
        <w:rFonts w:ascii="Symbol" w:eastAsia="Symbol" w:hAnsi="Symbol" w:cs="Symbol"/>
      </w:rPr>
    </w:lvl>
    <w:lvl w:ilvl="7" w:tplc="87F43BF0">
      <w:start w:val="1"/>
      <w:numFmt w:val="bullet"/>
      <w:lvlText w:val="o"/>
      <w:lvlJc w:val="left"/>
      <w:pPr>
        <w:ind w:left="5760" w:hanging="360"/>
      </w:pPr>
      <w:rPr>
        <w:rFonts w:ascii="Courier New" w:eastAsia="Courier New" w:hAnsi="Courier New" w:cs="Courier New"/>
      </w:rPr>
    </w:lvl>
    <w:lvl w:ilvl="8" w:tplc="C64C0192">
      <w:start w:val="1"/>
      <w:numFmt w:val="bullet"/>
      <w:lvlText w:val=""/>
      <w:lvlJc w:val="left"/>
      <w:pPr>
        <w:ind w:left="6480" w:hanging="360"/>
      </w:pPr>
      <w:rPr>
        <w:rFonts w:ascii="Wingdings" w:eastAsia="Wingdings" w:hAnsi="Wingdings" w:cs="Wingdings"/>
      </w:rPr>
    </w:lvl>
  </w:abstractNum>
  <w:abstractNum w:abstractNumId="30"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8FD1E3"/>
    <w:multiLevelType w:val="hybridMultilevel"/>
    <w:tmpl w:val="096A77DA"/>
    <w:lvl w:ilvl="0" w:tplc="485A27C8">
      <w:start w:val="1"/>
      <w:numFmt w:val="bullet"/>
      <w:lvlText w:val=""/>
      <w:lvlJc w:val="left"/>
      <w:pPr>
        <w:ind w:left="720" w:hanging="360"/>
      </w:pPr>
      <w:rPr>
        <w:rFonts w:ascii="Symbol" w:eastAsia="Symbol" w:hAnsi="Symbol" w:cs="Symbol"/>
      </w:rPr>
    </w:lvl>
    <w:lvl w:ilvl="1" w:tplc="8932DFE4">
      <w:start w:val="1"/>
      <w:numFmt w:val="bullet"/>
      <w:lvlText w:val="o"/>
      <w:lvlJc w:val="left"/>
      <w:pPr>
        <w:ind w:left="1440" w:hanging="360"/>
      </w:pPr>
      <w:rPr>
        <w:rFonts w:ascii="Courier New" w:eastAsia="Courier New" w:hAnsi="Courier New" w:cs="Courier New"/>
      </w:rPr>
    </w:lvl>
    <w:lvl w:ilvl="2" w:tplc="D2102FA0">
      <w:start w:val="1"/>
      <w:numFmt w:val="bullet"/>
      <w:lvlText w:val=""/>
      <w:lvlJc w:val="left"/>
      <w:pPr>
        <w:ind w:left="2160" w:hanging="360"/>
      </w:pPr>
      <w:rPr>
        <w:rFonts w:ascii="Wingdings" w:eastAsia="Wingdings" w:hAnsi="Wingdings" w:cs="Wingdings"/>
      </w:rPr>
    </w:lvl>
    <w:lvl w:ilvl="3" w:tplc="7ACAFB48">
      <w:start w:val="1"/>
      <w:numFmt w:val="bullet"/>
      <w:lvlText w:val=""/>
      <w:lvlJc w:val="left"/>
      <w:pPr>
        <w:ind w:left="2880" w:hanging="360"/>
      </w:pPr>
      <w:rPr>
        <w:rFonts w:ascii="Symbol" w:eastAsia="Symbol" w:hAnsi="Symbol" w:cs="Symbol"/>
      </w:rPr>
    </w:lvl>
    <w:lvl w:ilvl="4" w:tplc="C33A1E0A">
      <w:start w:val="1"/>
      <w:numFmt w:val="bullet"/>
      <w:lvlText w:val="o"/>
      <w:lvlJc w:val="left"/>
      <w:pPr>
        <w:ind w:left="3600" w:hanging="360"/>
      </w:pPr>
      <w:rPr>
        <w:rFonts w:ascii="Courier New" w:eastAsia="Courier New" w:hAnsi="Courier New" w:cs="Courier New"/>
      </w:rPr>
    </w:lvl>
    <w:lvl w:ilvl="5" w:tplc="C08C6B68">
      <w:start w:val="1"/>
      <w:numFmt w:val="bullet"/>
      <w:lvlText w:val=""/>
      <w:lvlJc w:val="left"/>
      <w:pPr>
        <w:ind w:left="4320" w:hanging="360"/>
      </w:pPr>
      <w:rPr>
        <w:rFonts w:ascii="Wingdings" w:eastAsia="Wingdings" w:hAnsi="Wingdings" w:cs="Wingdings"/>
      </w:rPr>
    </w:lvl>
    <w:lvl w:ilvl="6" w:tplc="FEC2FDEA">
      <w:start w:val="1"/>
      <w:numFmt w:val="bullet"/>
      <w:lvlText w:val=""/>
      <w:lvlJc w:val="left"/>
      <w:pPr>
        <w:ind w:left="5040" w:hanging="360"/>
      </w:pPr>
      <w:rPr>
        <w:rFonts w:ascii="Symbol" w:eastAsia="Symbol" w:hAnsi="Symbol" w:cs="Symbol"/>
      </w:rPr>
    </w:lvl>
    <w:lvl w:ilvl="7" w:tplc="B254EB90">
      <w:start w:val="1"/>
      <w:numFmt w:val="bullet"/>
      <w:lvlText w:val="o"/>
      <w:lvlJc w:val="left"/>
      <w:pPr>
        <w:ind w:left="5760" w:hanging="360"/>
      </w:pPr>
      <w:rPr>
        <w:rFonts w:ascii="Courier New" w:eastAsia="Courier New" w:hAnsi="Courier New" w:cs="Courier New"/>
      </w:rPr>
    </w:lvl>
    <w:lvl w:ilvl="8" w:tplc="A392BCAE">
      <w:start w:val="1"/>
      <w:numFmt w:val="bullet"/>
      <w:lvlText w:val=""/>
      <w:lvlJc w:val="left"/>
      <w:pPr>
        <w:ind w:left="6480" w:hanging="360"/>
      </w:pPr>
      <w:rPr>
        <w:rFonts w:ascii="Wingdings" w:eastAsia="Wingdings" w:hAnsi="Wingdings" w:cs="Wingdings"/>
      </w:rPr>
    </w:lvl>
  </w:abstractNum>
  <w:abstractNum w:abstractNumId="33"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4"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5"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C614337"/>
    <w:multiLevelType w:val="multilevel"/>
    <w:tmpl w:val="0809001D"/>
    <w:numStyleLink w:val="Bulletpoints"/>
  </w:abstractNum>
  <w:abstractNum w:abstractNumId="39"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075BA3"/>
    <w:multiLevelType w:val="hybridMultilevel"/>
    <w:tmpl w:val="9A8A1F3A"/>
    <w:lvl w:ilvl="0" w:tplc="5546DB06">
      <w:start w:val="1"/>
      <w:numFmt w:val="bullet"/>
      <w:lvlText w:val=""/>
      <w:lvlJc w:val="left"/>
      <w:pPr>
        <w:ind w:left="720" w:hanging="360"/>
      </w:pPr>
      <w:rPr>
        <w:rFonts w:ascii="Symbol" w:eastAsia="Symbol" w:hAnsi="Symbol" w:cs="Symbol"/>
      </w:rPr>
    </w:lvl>
    <w:lvl w:ilvl="1" w:tplc="24F29EE8">
      <w:start w:val="1"/>
      <w:numFmt w:val="bullet"/>
      <w:lvlText w:val="o"/>
      <w:lvlJc w:val="left"/>
      <w:pPr>
        <w:ind w:left="1440" w:hanging="360"/>
      </w:pPr>
      <w:rPr>
        <w:rFonts w:ascii="Courier New" w:eastAsia="Courier New" w:hAnsi="Courier New" w:cs="Courier New"/>
      </w:rPr>
    </w:lvl>
    <w:lvl w:ilvl="2" w:tplc="A7FCE9B4">
      <w:start w:val="1"/>
      <w:numFmt w:val="bullet"/>
      <w:lvlText w:val=""/>
      <w:lvlJc w:val="left"/>
      <w:pPr>
        <w:ind w:left="2160" w:hanging="360"/>
      </w:pPr>
      <w:rPr>
        <w:rFonts w:ascii="Wingdings" w:eastAsia="Wingdings" w:hAnsi="Wingdings" w:cs="Wingdings"/>
      </w:rPr>
    </w:lvl>
    <w:lvl w:ilvl="3" w:tplc="42C25A56">
      <w:start w:val="1"/>
      <w:numFmt w:val="bullet"/>
      <w:lvlText w:val=""/>
      <w:lvlJc w:val="left"/>
      <w:pPr>
        <w:ind w:left="2880" w:hanging="360"/>
      </w:pPr>
      <w:rPr>
        <w:rFonts w:ascii="Symbol" w:eastAsia="Symbol" w:hAnsi="Symbol" w:cs="Symbol"/>
      </w:rPr>
    </w:lvl>
    <w:lvl w:ilvl="4" w:tplc="2BA83768">
      <w:start w:val="1"/>
      <w:numFmt w:val="bullet"/>
      <w:lvlText w:val="o"/>
      <w:lvlJc w:val="left"/>
      <w:pPr>
        <w:ind w:left="3600" w:hanging="360"/>
      </w:pPr>
      <w:rPr>
        <w:rFonts w:ascii="Courier New" w:eastAsia="Courier New" w:hAnsi="Courier New" w:cs="Courier New"/>
      </w:rPr>
    </w:lvl>
    <w:lvl w:ilvl="5" w:tplc="113C6ABC">
      <w:start w:val="1"/>
      <w:numFmt w:val="bullet"/>
      <w:lvlText w:val=""/>
      <w:lvlJc w:val="left"/>
      <w:pPr>
        <w:ind w:left="4320" w:hanging="360"/>
      </w:pPr>
      <w:rPr>
        <w:rFonts w:ascii="Wingdings" w:eastAsia="Wingdings" w:hAnsi="Wingdings" w:cs="Wingdings"/>
      </w:rPr>
    </w:lvl>
    <w:lvl w:ilvl="6" w:tplc="08642F88">
      <w:start w:val="1"/>
      <w:numFmt w:val="bullet"/>
      <w:lvlText w:val=""/>
      <w:lvlJc w:val="left"/>
      <w:pPr>
        <w:ind w:left="5040" w:hanging="360"/>
      </w:pPr>
      <w:rPr>
        <w:rFonts w:ascii="Symbol" w:eastAsia="Symbol" w:hAnsi="Symbol" w:cs="Symbol"/>
      </w:rPr>
    </w:lvl>
    <w:lvl w:ilvl="7" w:tplc="D8BE6CE4">
      <w:start w:val="1"/>
      <w:numFmt w:val="bullet"/>
      <w:lvlText w:val="o"/>
      <w:lvlJc w:val="left"/>
      <w:pPr>
        <w:ind w:left="5760" w:hanging="360"/>
      </w:pPr>
      <w:rPr>
        <w:rFonts w:ascii="Courier New" w:eastAsia="Courier New" w:hAnsi="Courier New" w:cs="Courier New"/>
      </w:rPr>
    </w:lvl>
    <w:lvl w:ilvl="8" w:tplc="C19AE59E">
      <w:start w:val="1"/>
      <w:numFmt w:val="bullet"/>
      <w:lvlText w:val=""/>
      <w:lvlJc w:val="left"/>
      <w:pPr>
        <w:ind w:left="6480" w:hanging="360"/>
      </w:pPr>
      <w:rPr>
        <w:rFonts w:ascii="Wingdings" w:eastAsia="Wingdings" w:hAnsi="Wingdings" w:cs="Wingdings"/>
      </w:rPr>
    </w:lvl>
  </w:abstractNum>
  <w:abstractNum w:abstractNumId="41"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2" w15:restartNumberingAfterBreak="0">
    <w:nsid w:val="7CB7B862"/>
    <w:multiLevelType w:val="hybridMultilevel"/>
    <w:tmpl w:val="B05E9D90"/>
    <w:lvl w:ilvl="0" w:tplc="0DF28372">
      <w:start w:val="1"/>
      <w:numFmt w:val="bullet"/>
      <w:lvlText w:val=""/>
      <w:lvlJc w:val="left"/>
      <w:pPr>
        <w:ind w:left="720" w:hanging="360"/>
      </w:pPr>
      <w:rPr>
        <w:rFonts w:ascii="Symbol" w:eastAsia="Symbol" w:hAnsi="Symbol" w:cs="Symbol"/>
      </w:rPr>
    </w:lvl>
    <w:lvl w:ilvl="1" w:tplc="30E4E26A">
      <w:start w:val="1"/>
      <w:numFmt w:val="bullet"/>
      <w:lvlText w:val="o"/>
      <w:lvlJc w:val="left"/>
      <w:pPr>
        <w:ind w:left="1440" w:hanging="360"/>
      </w:pPr>
      <w:rPr>
        <w:rFonts w:ascii="Courier New" w:eastAsia="Courier New" w:hAnsi="Courier New" w:cs="Courier New"/>
      </w:rPr>
    </w:lvl>
    <w:lvl w:ilvl="2" w:tplc="8B8E4FE0">
      <w:start w:val="1"/>
      <w:numFmt w:val="bullet"/>
      <w:lvlText w:val=""/>
      <w:lvlJc w:val="left"/>
      <w:pPr>
        <w:ind w:left="2160" w:hanging="360"/>
      </w:pPr>
      <w:rPr>
        <w:rFonts w:ascii="Wingdings" w:eastAsia="Wingdings" w:hAnsi="Wingdings" w:cs="Wingdings"/>
      </w:rPr>
    </w:lvl>
    <w:lvl w:ilvl="3" w:tplc="D3724F98">
      <w:start w:val="1"/>
      <w:numFmt w:val="bullet"/>
      <w:lvlText w:val=""/>
      <w:lvlJc w:val="left"/>
      <w:pPr>
        <w:ind w:left="2880" w:hanging="360"/>
      </w:pPr>
      <w:rPr>
        <w:rFonts w:ascii="Symbol" w:eastAsia="Symbol" w:hAnsi="Symbol" w:cs="Symbol"/>
      </w:rPr>
    </w:lvl>
    <w:lvl w:ilvl="4" w:tplc="D7649848">
      <w:start w:val="1"/>
      <w:numFmt w:val="bullet"/>
      <w:lvlText w:val="o"/>
      <w:lvlJc w:val="left"/>
      <w:pPr>
        <w:ind w:left="3600" w:hanging="360"/>
      </w:pPr>
      <w:rPr>
        <w:rFonts w:ascii="Courier New" w:eastAsia="Courier New" w:hAnsi="Courier New" w:cs="Courier New"/>
      </w:rPr>
    </w:lvl>
    <w:lvl w:ilvl="5" w:tplc="6664A53E">
      <w:start w:val="1"/>
      <w:numFmt w:val="bullet"/>
      <w:lvlText w:val=""/>
      <w:lvlJc w:val="left"/>
      <w:pPr>
        <w:ind w:left="4320" w:hanging="360"/>
      </w:pPr>
      <w:rPr>
        <w:rFonts w:ascii="Wingdings" w:eastAsia="Wingdings" w:hAnsi="Wingdings" w:cs="Wingdings"/>
      </w:rPr>
    </w:lvl>
    <w:lvl w:ilvl="6" w:tplc="D89EDC2C">
      <w:start w:val="1"/>
      <w:numFmt w:val="bullet"/>
      <w:lvlText w:val=""/>
      <w:lvlJc w:val="left"/>
      <w:pPr>
        <w:ind w:left="5040" w:hanging="360"/>
      </w:pPr>
      <w:rPr>
        <w:rFonts w:ascii="Symbol" w:eastAsia="Symbol" w:hAnsi="Symbol" w:cs="Symbol"/>
      </w:rPr>
    </w:lvl>
    <w:lvl w:ilvl="7" w:tplc="3A5A0E6A">
      <w:start w:val="1"/>
      <w:numFmt w:val="bullet"/>
      <w:lvlText w:val="o"/>
      <w:lvlJc w:val="left"/>
      <w:pPr>
        <w:ind w:left="5760" w:hanging="360"/>
      </w:pPr>
      <w:rPr>
        <w:rFonts w:ascii="Courier New" w:eastAsia="Courier New" w:hAnsi="Courier New" w:cs="Courier New"/>
      </w:rPr>
    </w:lvl>
    <w:lvl w:ilvl="8" w:tplc="33ACA5BA">
      <w:start w:val="1"/>
      <w:numFmt w:val="bullet"/>
      <w:lvlText w:val=""/>
      <w:lvlJc w:val="left"/>
      <w:pPr>
        <w:ind w:left="6480" w:hanging="360"/>
      </w:pPr>
      <w:rPr>
        <w:rFonts w:ascii="Wingdings" w:eastAsia="Wingdings" w:hAnsi="Wingdings" w:cs="Wingdings"/>
      </w:rPr>
    </w:lvl>
  </w:abstractNum>
  <w:num w:numId="1" w16cid:durableId="696153938">
    <w:abstractNumId w:val="28"/>
  </w:num>
  <w:num w:numId="2" w16cid:durableId="440146533">
    <w:abstractNumId w:val="0"/>
  </w:num>
  <w:num w:numId="3" w16cid:durableId="2051806794">
    <w:abstractNumId w:val="18"/>
  </w:num>
  <w:num w:numId="4" w16cid:durableId="1476675530">
    <w:abstractNumId w:val="35"/>
  </w:num>
  <w:num w:numId="5" w16cid:durableId="1114057574">
    <w:abstractNumId w:val="37"/>
  </w:num>
  <w:num w:numId="6" w16cid:durableId="1979526830">
    <w:abstractNumId w:val="23"/>
  </w:num>
  <w:num w:numId="7" w16cid:durableId="686911828">
    <w:abstractNumId w:val="22"/>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0"/>
  </w:num>
  <w:num w:numId="22" w16cid:durableId="669450329">
    <w:abstractNumId w:val="27"/>
  </w:num>
  <w:num w:numId="23" w16cid:durableId="1919287998">
    <w:abstractNumId w:val="33"/>
  </w:num>
  <w:num w:numId="24" w16cid:durableId="2006857881">
    <w:abstractNumId w:val="20"/>
  </w:num>
  <w:num w:numId="25" w16cid:durableId="1574075096">
    <w:abstractNumId w:val="21"/>
  </w:num>
  <w:num w:numId="26" w16cid:durableId="264920688">
    <w:abstractNumId w:val="15"/>
  </w:num>
  <w:num w:numId="27" w16cid:durableId="1996297387">
    <w:abstractNumId w:val="31"/>
  </w:num>
  <w:num w:numId="28" w16cid:durableId="495390249">
    <w:abstractNumId w:val="25"/>
  </w:num>
  <w:num w:numId="29" w16cid:durableId="759790617">
    <w:abstractNumId w:val="20"/>
    <w:lvlOverride w:ilvl="0">
      <w:startOverride w:val="1"/>
    </w:lvlOverride>
  </w:num>
  <w:num w:numId="30" w16cid:durableId="1368289204">
    <w:abstractNumId w:val="36"/>
  </w:num>
  <w:num w:numId="31" w16cid:durableId="756832289">
    <w:abstractNumId w:val="14"/>
  </w:num>
  <w:num w:numId="32" w16cid:durableId="2110000414">
    <w:abstractNumId w:val="41"/>
  </w:num>
  <w:num w:numId="33" w16cid:durableId="1933931263">
    <w:abstractNumId w:val="16"/>
  </w:num>
  <w:num w:numId="34" w16cid:durableId="1722896190">
    <w:abstractNumId w:val="34"/>
  </w:num>
  <w:num w:numId="35" w16cid:durableId="307898449">
    <w:abstractNumId w:val="39"/>
  </w:num>
  <w:num w:numId="36" w16cid:durableId="1071661329">
    <w:abstractNumId w:val="38"/>
  </w:num>
  <w:num w:numId="37" w16cid:durableId="220093339">
    <w:abstractNumId w:val="13"/>
  </w:num>
  <w:num w:numId="38" w16cid:durableId="114493013">
    <w:abstractNumId w:val="26"/>
  </w:num>
  <w:num w:numId="39" w16cid:durableId="107697535">
    <w:abstractNumId w:val="42"/>
  </w:num>
  <w:num w:numId="40" w16cid:durableId="131531507">
    <w:abstractNumId w:val="24"/>
  </w:num>
  <w:num w:numId="41" w16cid:durableId="1498382144">
    <w:abstractNumId w:val="29"/>
  </w:num>
  <w:num w:numId="42" w16cid:durableId="2012483184">
    <w:abstractNumId w:val="40"/>
  </w:num>
  <w:num w:numId="43" w16cid:durableId="323898319">
    <w:abstractNumId w:val="19"/>
  </w:num>
  <w:num w:numId="44" w16cid:durableId="3461786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hPRW8n9YuXWEvWMXhtx1p0vObJ6sLTWF0jMtaHlKSqXbNFSP/zSpqPrdMONWNokAkL20QTpNjMtgGdeNJsSbQ==" w:salt="ion9ASu3nZ1HktgWwqyOs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55"/>
    <w:rsid w:val="00005C32"/>
    <w:rsid w:val="00006A84"/>
    <w:rsid w:val="000073E2"/>
    <w:rsid w:val="00010023"/>
    <w:rsid w:val="000603D9"/>
    <w:rsid w:val="00060BAD"/>
    <w:rsid w:val="0006243B"/>
    <w:rsid w:val="000652BD"/>
    <w:rsid w:val="0008594E"/>
    <w:rsid w:val="000B5B6B"/>
    <w:rsid w:val="000C0E78"/>
    <w:rsid w:val="000C0EAA"/>
    <w:rsid w:val="000C3CCF"/>
    <w:rsid w:val="000C5AD0"/>
    <w:rsid w:val="000C6DA1"/>
    <w:rsid w:val="000D0D5A"/>
    <w:rsid w:val="000E0CC6"/>
    <w:rsid w:val="00100AC0"/>
    <w:rsid w:val="00114C48"/>
    <w:rsid w:val="00123796"/>
    <w:rsid w:val="001276F4"/>
    <w:rsid w:val="00132CC2"/>
    <w:rsid w:val="00136CA7"/>
    <w:rsid w:val="0015453B"/>
    <w:rsid w:val="00162F15"/>
    <w:rsid w:val="00164680"/>
    <w:rsid w:val="0017068D"/>
    <w:rsid w:val="001777A4"/>
    <w:rsid w:val="00184755"/>
    <w:rsid w:val="001924A6"/>
    <w:rsid w:val="001A77E4"/>
    <w:rsid w:val="001A7B17"/>
    <w:rsid w:val="001B22CB"/>
    <w:rsid w:val="001E675E"/>
    <w:rsid w:val="00204B44"/>
    <w:rsid w:val="00211E92"/>
    <w:rsid w:val="00213709"/>
    <w:rsid w:val="00226D7C"/>
    <w:rsid w:val="00233DA5"/>
    <w:rsid w:val="002341E1"/>
    <w:rsid w:val="00243D9B"/>
    <w:rsid w:val="00257BDB"/>
    <w:rsid w:val="00263DD9"/>
    <w:rsid w:val="0027056A"/>
    <w:rsid w:val="00271B49"/>
    <w:rsid w:val="00271FAB"/>
    <w:rsid w:val="00284707"/>
    <w:rsid w:val="00295C29"/>
    <w:rsid w:val="002A3CB4"/>
    <w:rsid w:val="002B03AF"/>
    <w:rsid w:val="002B53AC"/>
    <w:rsid w:val="002B708D"/>
    <w:rsid w:val="002D1274"/>
    <w:rsid w:val="002D17D3"/>
    <w:rsid w:val="002E4B61"/>
    <w:rsid w:val="002F4258"/>
    <w:rsid w:val="002F559A"/>
    <w:rsid w:val="002F64F8"/>
    <w:rsid w:val="003016D2"/>
    <w:rsid w:val="00335EAB"/>
    <w:rsid w:val="00337D0D"/>
    <w:rsid w:val="0035023E"/>
    <w:rsid w:val="00371A1C"/>
    <w:rsid w:val="0037473F"/>
    <w:rsid w:val="00380A1B"/>
    <w:rsid w:val="00391132"/>
    <w:rsid w:val="003946C5"/>
    <w:rsid w:val="003D0E26"/>
    <w:rsid w:val="003D0E4F"/>
    <w:rsid w:val="003D10DF"/>
    <w:rsid w:val="00421214"/>
    <w:rsid w:val="00426604"/>
    <w:rsid w:val="00437579"/>
    <w:rsid w:val="004441FD"/>
    <w:rsid w:val="004556F2"/>
    <w:rsid w:val="00460A64"/>
    <w:rsid w:val="00467747"/>
    <w:rsid w:val="00470C05"/>
    <w:rsid w:val="004C0E9A"/>
    <w:rsid w:val="004D5544"/>
    <w:rsid w:val="004E7D57"/>
    <w:rsid w:val="004F2A87"/>
    <w:rsid w:val="004F44A9"/>
    <w:rsid w:val="00502D75"/>
    <w:rsid w:val="005137A8"/>
    <w:rsid w:val="00525FA9"/>
    <w:rsid w:val="0052718A"/>
    <w:rsid w:val="00527301"/>
    <w:rsid w:val="005323C8"/>
    <w:rsid w:val="00534A9E"/>
    <w:rsid w:val="00544050"/>
    <w:rsid w:val="00546BC3"/>
    <w:rsid w:val="00564C00"/>
    <w:rsid w:val="00576BFE"/>
    <w:rsid w:val="005873B4"/>
    <w:rsid w:val="00587400"/>
    <w:rsid w:val="005C0E73"/>
    <w:rsid w:val="005D6F6B"/>
    <w:rsid w:val="005D76FD"/>
    <w:rsid w:val="005F5A75"/>
    <w:rsid w:val="00611317"/>
    <w:rsid w:val="00623B9B"/>
    <w:rsid w:val="00625DDC"/>
    <w:rsid w:val="00632A67"/>
    <w:rsid w:val="006334DF"/>
    <w:rsid w:val="006803BA"/>
    <w:rsid w:val="00683160"/>
    <w:rsid w:val="00686074"/>
    <w:rsid w:val="00687A70"/>
    <w:rsid w:val="006A4280"/>
    <w:rsid w:val="006A57A2"/>
    <w:rsid w:val="006E46BF"/>
    <w:rsid w:val="006F0812"/>
    <w:rsid w:val="00705F7A"/>
    <w:rsid w:val="00725D0B"/>
    <w:rsid w:val="00731F40"/>
    <w:rsid w:val="00740B5A"/>
    <w:rsid w:val="00753979"/>
    <w:rsid w:val="00773A07"/>
    <w:rsid w:val="00783013"/>
    <w:rsid w:val="007A3454"/>
    <w:rsid w:val="007B0F62"/>
    <w:rsid w:val="007C3170"/>
    <w:rsid w:val="007E51BB"/>
    <w:rsid w:val="007F230D"/>
    <w:rsid w:val="00800A52"/>
    <w:rsid w:val="00817A85"/>
    <w:rsid w:val="0082080F"/>
    <w:rsid w:val="00820EC5"/>
    <w:rsid w:val="008270F4"/>
    <w:rsid w:val="0083209F"/>
    <w:rsid w:val="00854E1C"/>
    <w:rsid w:val="008550BC"/>
    <w:rsid w:val="008552E0"/>
    <w:rsid w:val="00864C3E"/>
    <w:rsid w:val="0089180B"/>
    <w:rsid w:val="00896AB5"/>
    <w:rsid w:val="008B2A08"/>
    <w:rsid w:val="008B56E8"/>
    <w:rsid w:val="008C7FD4"/>
    <w:rsid w:val="008D3AC1"/>
    <w:rsid w:val="008D6F80"/>
    <w:rsid w:val="009260A8"/>
    <w:rsid w:val="00926D5E"/>
    <w:rsid w:val="00932A32"/>
    <w:rsid w:val="00933190"/>
    <w:rsid w:val="0095095F"/>
    <w:rsid w:val="00954387"/>
    <w:rsid w:val="00955D45"/>
    <w:rsid w:val="00975AF8"/>
    <w:rsid w:val="009816EB"/>
    <w:rsid w:val="009818CE"/>
    <w:rsid w:val="00984BF1"/>
    <w:rsid w:val="009A2990"/>
    <w:rsid w:val="009C12B8"/>
    <w:rsid w:val="009C31AB"/>
    <w:rsid w:val="009D6691"/>
    <w:rsid w:val="009E755D"/>
    <w:rsid w:val="009F7048"/>
    <w:rsid w:val="00A217A0"/>
    <w:rsid w:val="00A37BFE"/>
    <w:rsid w:val="00A40A3D"/>
    <w:rsid w:val="00A42E0D"/>
    <w:rsid w:val="00A56646"/>
    <w:rsid w:val="00A57BA1"/>
    <w:rsid w:val="00A63591"/>
    <w:rsid w:val="00A72177"/>
    <w:rsid w:val="00A73699"/>
    <w:rsid w:val="00AB2A06"/>
    <w:rsid w:val="00AD4DEA"/>
    <w:rsid w:val="00AE2062"/>
    <w:rsid w:val="00AE388B"/>
    <w:rsid w:val="00AE499B"/>
    <w:rsid w:val="00B008EB"/>
    <w:rsid w:val="00B00C84"/>
    <w:rsid w:val="00B05791"/>
    <w:rsid w:val="00B1575C"/>
    <w:rsid w:val="00B20325"/>
    <w:rsid w:val="00B27019"/>
    <w:rsid w:val="00B27316"/>
    <w:rsid w:val="00B31E1F"/>
    <w:rsid w:val="00B360F6"/>
    <w:rsid w:val="00B52380"/>
    <w:rsid w:val="00B533D0"/>
    <w:rsid w:val="00B539D5"/>
    <w:rsid w:val="00B64E15"/>
    <w:rsid w:val="00B7599C"/>
    <w:rsid w:val="00B83C96"/>
    <w:rsid w:val="00BA078F"/>
    <w:rsid w:val="00BB51D6"/>
    <w:rsid w:val="00BC23D2"/>
    <w:rsid w:val="00BD2E1A"/>
    <w:rsid w:val="00BF495F"/>
    <w:rsid w:val="00BF4B69"/>
    <w:rsid w:val="00BF6837"/>
    <w:rsid w:val="00C100F5"/>
    <w:rsid w:val="00C12BCC"/>
    <w:rsid w:val="00C13308"/>
    <w:rsid w:val="00C30205"/>
    <w:rsid w:val="00C43DBA"/>
    <w:rsid w:val="00C45208"/>
    <w:rsid w:val="00C60438"/>
    <w:rsid w:val="00C637AB"/>
    <w:rsid w:val="00C66840"/>
    <w:rsid w:val="00C70315"/>
    <w:rsid w:val="00C80F94"/>
    <w:rsid w:val="00C93514"/>
    <w:rsid w:val="00C97B8B"/>
    <w:rsid w:val="00C97F90"/>
    <w:rsid w:val="00CC1E0C"/>
    <w:rsid w:val="00CC2858"/>
    <w:rsid w:val="00CC57CB"/>
    <w:rsid w:val="00CD18BF"/>
    <w:rsid w:val="00CD566B"/>
    <w:rsid w:val="00CE697C"/>
    <w:rsid w:val="00CE6A48"/>
    <w:rsid w:val="00CF470A"/>
    <w:rsid w:val="00D008FE"/>
    <w:rsid w:val="00D06B06"/>
    <w:rsid w:val="00D2272E"/>
    <w:rsid w:val="00D30757"/>
    <w:rsid w:val="00D37F7C"/>
    <w:rsid w:val="00D57709"/>
    <w:rsid w:val="00D8334A"/>
    <w:rsid w:val="00D8638C"/>
    <w:rsid w:val="00D90A95"/>
    <w:rsid w:val="00DA6ACF"/>
    <w:rsid w:val="00DB2D05"/>
    <w:rsid w:val="00DC1ABF"/>
    <w:rsid w:val="00DD16C6"/>
    <w:rsid w:val="00DD39E2"/>
    <w:rsid w:val="00DF7ADC"/>
    <w:rsid w:val="00E07190"/>
    <w:rsid w:val="00E3109C"/>
    <w:rsid w:val="00E40DB7"/>
    <w:rsid w:val="00E4578E"/>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2580B"/>
    <w:rsid w:val="00F41D79"/>
    <w:rsid w:val="00F41E71"/>
    <w:rsid w:val="00F52587"/>
    <w:rsid w:val="00F622F6"/>
    <w:rsid w:val="00F62404"/>
    <w:rsid w:val="00F86FBC"/>
    <w:rsid w:val="00FA051F"/>
    <w:rsid w:val="00FA1F61"/>
    <w:rsid w:val="00FA4019"/>
    <w:rsid w:val="00FA48C7"/>
    <w:rsid w:val="00FA7E00"/>
    <w:rsid w:val="00FC4A32"/>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F4BCE"/>
  <w15:chartTrackingRefBased/>
  <w15:docId w15:val="{70C90485-72F6-4863-8C43-6EC3690E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4755"/>
    <w:pPr>
      <w:spacing w:line="279"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next w:val="Bullet"/>
    <w:uiPriority w:val="99"/>
    <w:unhideWhenUsed/>
    <w:qFormat/>
    <w:rsid w:val="00525FA9"/>
    <w:pPr>
      <w:numPr>
        <w:numId w:val="38"/>
      </w:numPr>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color w:val="4D4D4C"/>
      <w:sz w:val="18"/>
      <w:szCs w:val="18"/>
    </w:rPr>
  </w:style>
  <w:style w:type="paragraph" w:customStyle="1" w:styleId="Table-Body-leftaligned">
    <w:name w:val="Table - Body - left aligned"/>
    <w:basedOn w:val="Normal"/>
    <w:qFormat/>
    <w:rsid w:val="00B05791"/>
    <w:pPr>
      <w:spacing w:beforeLines="60" w:before="144" w:afterLines="60" w:after="144" w:line="200" w:lineRule="exact"/>
    </w:pPr>
    <w:rPr>
      <w:rFonts w:cstheme="minorHAnsi"/>
      <w:color w:val="4D4D4C"/>
      <w:sz w:val="18"/>
      <w:szCs w:val="18"/>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35"/>
      </w:numPr>
    </w:pPr>
  </w:style>
  <w:style w:type="paragraph" w:customStyle="1" w:styleId="Bullet">
    <w:name w:val="Bullet"/>
    <w:basedOn w:val="Normal"/>
    <w:qFormat/>
    <w:rsid w:val="00525FA9"/>
    <w:pPr>
      <w:numPr>
        <w:numId w:val="37"/>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tractor.org.uk/the-trust-in-food-index" TargetMode="External"/><Relationship Id="rId18" Type="http://schemas.openxmlformats.org/officeDocument/2006/relationships/hyperlink" Target="https://naturalresources.wales/guidance-and-advice/business-sectors/farming/pig-and-poultry-assurance-scheme/?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food.gov.uk/business-guidance/dairy-registration-and-inspec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dtractor.org.uk/the-trust-in-food-index/" TargetMode="External"/><Relationship Id="rId20" Type="http://schemas.openxmlformats.org/officeDocument/2006/relationships/hyperlink" Target="https://redtractor.org.uk/news/red-tractor-launches-outdoor-pigs-standards-with-on-pack-logo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rspcaassured.org.uk/industry/news/british-higher-welfar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redtractor.org.uk/assurance/joint-assess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gginfo.co.uk/british-lion-eggs" TargetMode="External"/><Relationship Id="rId22" Type="http://schemas.openxmlformats.org/officeDocument/2006/relationships/header" Target="head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Template>
  <TotalTime>49</TotalTime>
  <Pages>6</Pages>
  <Words>1400</Words>
  <Characters>7985</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Purpose, scope and value of farm assurance</vt:lpstr>
    </vt:vector>
  </TitlesOfParts>
  <Company>AHDB</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scope and value of farm assurance</dc:title>
  <dc:subject/>
  <dc:creator>Chris Lillington</dc:creator>
  <cp:keywords/>
  <dc:description/>
  <cp:lastModifiedBy>Chris Lillington</cp:lastModifiedBy>
  <cp:revision>11</cp:revision>
  <cp:lastPrinted>2023-07-12T13:55:00Z</cp:lastPrinted>
  <dcterms:created xsi:type="dcterms:W3CDTF">2026-05-19T15:15:00Z</dcterms:created>
  <dcterms:modified xsi:type="dcterms:W3CDTF">2026-05-21T11:21:00Z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y fmtid="{D5CDD505-2E9C-101B-9397-08002B2CF9AE}" pid="17" name="ClassificationContentMarkingHeaderShapeIds">
    <vt:lpwstr>2fe0f9e3,130ceb2,81476df</vt:lpwstr>
  </property>
  <property fmtid="{D5CDD505-2E9C-101B-9397-08002B2CF9AE}" pid="18" name="ClassificationContentMarkingHeaderFontProps">
    <vt:lpwstr>#000000,12,Aptos</vt:lpwstr>
  </property>
  <property fmtid="{D5CDD505-2E9C-101B-9397-08002B2CF9AE}" pid="19" name="ClassificationContentMarkingHeaderText">
    <vt:lpwstr>OFFICIAL</vt:lpwstr>
  </property>
</Properties>
</file>