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8ACD" w14:textId="77777777" w:rsidR="00AD3540" w:rsidRDefault="00AD3540" w:rsidP="00AD3540">
      <w:pPr>
        <w:pStyle w:val="Title"/>
      </w:pPr>
    </w:p>
    <w:p w14:paraId="5DDAB416" w14:textId="77777777" w:rsidR="00AD3540" w:rsidRDefault="00AD3540" w:rsidP="00AD3540">
      <w:pPr>
        <w:pStyle w:val="Title"/>
      </w:pPr>
    </w:p>
    <w:p w14:paraId="20B26E5B" w14:textId="77777777" w:rsidR="00AD3540" w:rsidRDefault="00AD3540" w:rsidP="00AD3540">
      <w:pPr>
        <w:pStyle w:val="Title"/>
      </w:pPr>
    </w:p>
    <w:p w14:paraId="5651CF1A" w14:textId="77777777" w:rsidR="00AD3540" w:rsidRDefault="00AD3540" w:rsidP="00AD3540">
      <w:pPr>
        <w:pStyle w:val="Title"/>
      </w:pPr>
    </w:p>
    <w:p w14:paraId="0DC2FC16" w14:textId="77777777" w:rsidR="00AD3540" w:rsidRDefault="00AD3540" w:rsidP="00AD3540">
      <w:pPr>
        <w:pStyle w:val="Title"/>
      </w:pPr>
    </w:p>
    <w:p w14:paraId="16148A75" w14:textId="77777777" w:rsidR="00AD3540" w:rsidRDefault="00AD3540" w:rsidP="00AD3540">
      <w:pPr>
        <w:pStyle w:val="Title"/>
      </w:pPr>
    </w:p>
    <w:p w14:paraId="6ABB17C8" w14:textId="77777777" w:rsidR="00AD3540" w:rsidRDefault="00AD3540" w:rsidP="00AD3540">
      <w:pPr>
        <w:pStyle w:val="Title"/>
      </w:pPr>
    </w:p>
    <w:p w14:paraId="6CB9DBC9" w14:textId="77777777" w:rsidR="00AD3540" w:rsidRDefault="00AD3540" w:rsidP="00AD3540">
      <w:pPr>
        <w:pStyle w:val="Title"/>
      </w:pPr>
    </w:p>
    <w:p w14:paraId="59321B3F" w14:textId="77777777" w:rsidR="00AD3540" w:rsidRDefault="00AD3540" w:rsidP="00AD3540">
      <w:pPr>
        <w:pStyle w:val="Title"/>
      </w:pPr>
    </w:p>
    <w:p w14:paraId="5BB726BF" w14:textId="384780F2" w:rsidR="004E5CB4" w:rsidRDefault="005A5CFF" w:rsidP="00807E4B">
      <w:pPr>
        <w:pStyle w:val="Title"/>
      </w:pPr>
      <w:r>
        <w:t xml:space="preserve">Twitter: </w:t>
      </w:r>
      <w:r w:rsidR="007B2CBD">
        <w:t>@wraguk</w:t>
      </w:r>
      <w:r w:rsidR="009D7110">
        <w:t xml:space="preserve">   </w:t>
      </w:r>
      <w:r>
        <w:t xml:space="preserve"> email:</w:t>
      </w:r>
      <w:r w:rsidR="00807E4B">
        <w:t xml:space="preserve"> </w:t>
      </w:r>
      <w:hyperlink r:id="rId8" w:history="1">
        <w:r w:rsidR="00807E4B" w:rsidRPr="005A5CFF">
          <w:rPr>
            <w:rStyle w:val="Hyperlink"/>
            <w:color w:val="auto"/>
          </w:rPr>
          <w:t>wraguk@gmail.com</w:t>
        </w:r>
      </w:hyperlink>
    </w:p>
    <w:p w14:paraId="3960FAEB" w14:textId="77777777" w:rsidR="004E5CB4" w:rsidRDefault="004E5CB4" w:rsidP="00AD3540">
      <w:pPr>
        <w:pStyle w:val="Title"/>
      </w:pPr>
    </w:p>
    <w:p w14:paraId="2A3B9E97" w14:textId="1C5664AD" w:rsidR="00AD3540" w:rsidRPr="009656B1" w:rsidRDefault="00AD3540" w:rsidP="00AD3540">
      <w:pPr>
        <w:pStyle w:val="Title"/>
      </w:pPr>
      <w:r w:rsidRPr="009656B1">
        <w:t>WRAG STEERING GROUP MEETING</w:t>
      </w:r>
      <w:r>
        <w:t xml:space="preserve"> MINUTES</w:t>
      </w:r>
    </w:p>
    <w:p w14:paraId="4C3FBE3A" w14:textId="77777777" w:rsidR="00AD3540" w:rsidRDefault="00AD3540" w:rsidP="00AD3540">
      <w:pPr>
        <w:pStyle w:val="Heading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left"/>
      </w:pPr>
    </w:p>
    <w:p w14:paraId="447199D3" w14:textId="77777777" w:rsidR="00AD3540" w:rsidRDefault="00AD3540" w:rsidP="00AD3540">
      <w:pPr>
        <w:pStyle w:val="Heading1"/>
        <w:framePr w:w="6240" w:h="3182" w:hRule="exact" w:hSpace="90" w:vSpace="90" w:wrap="auto" w:vAnchor="page" w:hAnchor="page" w:x="2911" w:y="57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55271CED" w14:textId="77777777" w:rsidR="00AD3540" w:rsidRDefault="00AD3540" w:rsidP="00AD3540">
      <w:pPr>
        <w:framePr w:w="6240" w:h="3182" w:hRule="exact" w:hSpace="90" w:vSpace="90" w:wrap="auto" w:vAnchor="page" w:hAnchor="page" w:x="2911" w:y="57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  <w:r>
        <w:rPr>
          <w:noProof/>
          <w:lang w:eastAsia="en-GB"/>
        </w:rPr>
        <w:drawing>
          <wp:inline distT="0" distB="0" distL="0" distR="0" wp14:anchorId="4176F9CC" wp14:editId="0C59EA8B">
            <wp:extent cx="3388360" cy="171450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8D91CE" w14:textId="77777777" w:rsidR="00AD3540" w:rsidRDefault="00AD3540" w:rsidP="00AD3540">
      <w:pPr>
        <w:framePr w:w="6240" w:h="3182" w:hRule="exact" w:hSpace="90" w:vSpace="90" w:wrap="auto" w:vAnchor="page" w:hAnchor="page" w:x="2911" w:y="57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4A1F6048" w14:textId="77777777" w:rsidR="00AD3540" w:rsidRDefault="00AD3540" w:rsidP="00AD3540">
      <w:pPr>
        <w:framePr w:w="6240" w:h="3182" w:hRule="exact" w:hSpace="90" w:vSpace="90" w:wrap="auto" w:vAnchor="page" w:hAnchor="page" w:x="2911" w:y="57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</w:p>
    <w:p w14:paraId="30BD78D5" w14:textId="77777777" w:rsidR="00AD3540" w:rsidRDefault="00AD3540" w:rsidP="00AD3540">
      <w:pPr>
        <w:framePr w:w="6240" w:h="3182" w:hRule="exact" w:hSpace="90" w:vSpace="90" w:wrap="auto" w:vAnchor="page" w:hAnchor="page" w:x="2911" w:y="57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</w:p>
    <w:p w14:paraId="6FD15293" w14:textId="66740EB0" w:rsidR="00AD3540" w:rsidRDefault="00AD3540" w:rsidP="00AD3540">
      <w:pPr>
        <w:jc w:val="center"/>
        <w:rPr>
          <w:b/>
        </w:rPr>
      </w:pPr>
      <w:r>
        <w:rPr>
          <w:b/>
        </w:rPr>
        <w:t>Thursd</w:t>
      </w:r>
      <w:r w:rsidR="001F7E1B">
        <w:rPr>
          <w:b/>
        </w:rPr>
        <w:t>ay</w:t>
      </w:r>
      <w:r>
        <w:rPr>
          <w:b/>
        </w:rPr>
        <w:t xml:space="preserve"> </w:t>
      </w:r>
      <w:r w:rsidR="00D97F37">
        <w:rPr>
          <w:b/>
        </w:rPr>
        <w:t>2</w:t>
      </w:r>
      <w:r w:rsidR="001F7E1B">
        <w:rPr>
          <w:b/>
        </w:rPr>
        <w:t>4</w:t>
      </w:r>
      <w:r w:rsidR="00D97F37">
        <w:rPr>
          <w:b/>
          <w:vertAlign w:val="superscript"/>
        </w:rPr>
        <w:t>t</w:t>
      </w:r>
      <w:r w:rsidRPr="00AD3540">
        <w:rPr>
          <w:b/>
          <w:vertAlign w:val="superscript"/>
        </w:rPr>
        <w:t>h</w:t>
      </w:r>
      <w:r>
        <w:rPr>
          <w:b/>
        </w:rPr>
        <w:t xml:space="preserve"> </w:t>
      </w:r>
      <w:r w:rsidR="001F7E1B">
        <w:rPr>
          <w:b/>
        </w:rPr>
        <w:t>March</w:t>
      </w:r>
      <w:r>
        <w:rPr>
          <w:b/>
        </w:rPr>
        <w:t xml:space="preserve"> 202</w:t>
      </w:r>
      <w:r w:rsidR="001F7E1B">
        <w:rPr>
          <w:b/>
        </w:rPr>
        <w:t>2</w:t>
      </w:r>
    </w:p>
    <w:p w14:paraId="4C59D161" w14:textId="77777777" w:rsidR="00AD3540" w:rsidRDefault="00AD3540" w:rsidP="00AD3540">
      <w:pPr>
        <w:jc w:val="center"/>
        <w:rPr>
          <w:b/>
        </w:rPr>
      </w:pPr>
    </w:p>
    <w:p w14:paraId="2CC2595F" w14:textId="294CA5B7" w:rsidR="00AD3540" w:rsidRPr="003C3E4A" w:rsidRDefault="00AD3540" w:rsidP="00AD3540">
      <w:pPr>
        <w:jc w:val="center"/>
        <w:rPr>
          <w:b/>
        </w:rPr>
      </w:pPr>
      <w:r>
        <w:rPr>
          <w:b/>
        </w:rPr>
        <w:t>Virtual Teams meeting</w:t>
      </w:r>
    </w:p>
    <w:p w14:paraId="7C8B7B04" w14:textId="77777777" w:rsidR="00AD3540" w:rsidRDefault="00AD3540" w:rsidP="009D7110">
      <w:pPr>
        <w:rPr>
          <w:b/>
        </w:rPr>
      </w:pPr>
    </w:p>
    <w:p w14:paraId="0DFB4523" w14:textId="21AC28DC" w:rsidR="00AD3540" w:rsidRPr="00B90ED1" w:rsidRDefault="00AD3540" w:rsidP="00AD3540">
      <w:pPr>
        <w:jc w:val="both"/>
        <w:rPr>
          <w:bCs/>
        </w:rPr>
      </w:pPr>
      <w:r>
        <w:rPr>
          <w:b/>
        </w:rPr>
        <w:t xml:space="preserve">Members present: </w:t>
      </w:r>
      <w:r w:rsidRPr="00B90ED1">
        <w:rPr>
          <w:bCs/>
        </w:rPr>
        <w:t>James Clarke (chairman, ADAS) Richard Hull (secretary, Rothamsted Research), Stuart Kevis (BASF), Eileen Paterson (Corteva), Ingrid Den Hoe</w:t>
      </w:r>
      <w:r w:rsidR="00CA4E98">
        <w:rPr>
          <w:bCs/>
        </w:rPr>
        <w:t>d</w:t>
      </w:r>
      <w:r w:rsidRPr="00B90ED1">
        <w:rPr>
          <w:bCs/>
        </w:rPr>
        <w:t xml:space="preserve"> (HSE), Chris Parsons (Bayer)</w:t>
      </w:r>
      <w:r>
        <w:rPr>
          <w:bCs/>
        </w:rPr>
        <w:t xml:space="preserve">, </w:t>
      </w:r>
      <w:r>
        <w:t>Barrie Hunt (Gowan), Gareth Jones (FMC),</w:t>
      </w:r>
      <w:r w:rsidR="00BA63A1">
        <w:t xml:space="preserve"> David Comont (Rothamsted Research)</w:t>
      </w:r>
      <w:r w:rsidR="007965FB">
        <w:t>,</w:t>
      </w:r>
      <w:r w:rsidR="007965FB" w:rsidRPr="007965FB">
        <w:rPr>
          <w:bCs/>
        </w:rPr>
        <w:t xml:space="preserve"> </w:t>
      </w:r>
      <w:r w:rsidR="007965FB">
        <w:rPr>
          <w:bCs/>
        </w:rPr>
        <w:t xml:space="preserve">Georgina Wood (Syngenta), Lynn </w:t>
      </w:r>
      <w:proofErr w:type="spellStart"/>
      <w:r w:rsidR="007965FB">
        <w:rPr>
          <w:bCs/>
        </w:rPr>
        <w:t>Tatnell</w:t>
      </w:r>
      <w:proofErr w:type="spellEnd"/>
      <w:r w:rsidR="007965FB">
        <w:rPr>
          <w:bCs/>
        </w:rPr>
        <w:t xml:space="preserve"> (ADAS), </w:t>
      </w:r>
      <w:r w:rsidR="003E7637">
        <w:rPr>
          <w:bCs/>
        </w:rPr>
        <w:t>Catherine Harris (AHDB)</w:t>
      </w:r>
    </w:p>
    <w:p w14:paraId="7B980CC7" w14:textId="77777777" w:rsidR="00AD3540" w:rsidRDefault="00AD3540" w:rsidP="00AD3540">
      <w:pPr>
        <w:pStyle w:val="Heading1"/>
        <w:framePr w:w="6240" w:h="3182" w:hRule="exact" w:hSpace="90" w:vSpace="90" w:wrap="auto" w:vAnchor="page" w:hAnchor="page" w:x="2911" w:y="57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left"/>
      </w:pPr>
    </w:p>
    <w:p w14:paraId="132F2FEC" w14:textId="77777777" w:rsidR="00AD3540" w:rsidRDefault="00AD3540" w:rsidP="00AD3540">
      <w:pPr>
        <w:ind w:left="2520" w:hanging="2520"/>
        <w:jc w:val="both"/>
        <w:rPr>
          <w:sz w:val="22"/>
          <w:szCs w:val="22"/>
        </w:rPr>
      </w:pPr>
    </w:p>
    <w:p w14:paraId="144E2D81" w14:textId="5E0488D1" w:rsidR="00AD3540" w:rsidRDefault="00AD3540" w:rsidP="00AD3540">
      <w:pPr>
        <w:jc w:val="both"/>
        <w:rPr>
          <w:bCs/>
        </w:rPr>
      </w:pPr>
      <w:r w:rsidRPr="00B90ED1">
        <w:rPr>
          <w:b/>
          <w:bCs/>
        </w:rPr>
        <w:t>Apologies for absence:</w:t>
      </w:r>
      <w:r>
        <w:t xml:space="preserve"> </w:t>
      </w:r>
      <w:r w:rsidR="007965FB" w:rsidRPr="00B90ED1">
        <w:rPr>
          <w:bCs/>
        </w:rPr>
        <w:t>Stephen Moss (Independent)</w:t>
      </w:r>
    </w:p>
    <w:p w14:paraId="671A498E" w14:textId="12703E4B" w:rsidR="00977271" w:rsidRDefault="00977271" w:rsidP="00AD3540">
      <w:pPr>
        <w:jc w:val="both"/>
        <w:rPr>
          <w:bCs/>
        </w:rPr>
      </w:pPr>
    </w:p>
    <w:p w14:paraId="5E19056B" w14:textId="54A9387B" w:rsidR="00977271" w:rsidRPr="00977271" w:rsidRDefault="00977271" w:rsidP="00AD3540">
      <w:pPr>
        <w:jc w:val="both"/>
        <w:rPr>
          <w:b/>
        </w:rPr>
      </w:pPr>
      <w:r w:rsidRPr="00977271">
        <w:rPr>
          <w:b/>
        </w:rPr>
        <w:t>Membership:</w:t>
      </w:r>
    </w:p>
    <w:p w14:paraId="6EA5CC69" w14:textId="77777777" w:rsidR="00420D05" w:rsidRDefault="00420D05" w:rsidP="00AD3540">
      <w:pPr>
        <w:jc w:val="both"/>
      </w:pPr>
    </w:p>
    <w:p w14:paraId="03667DE8" w14:textId="6F019C27" w:rsidR="00AD3540" w:rsidRPr="003F77D0" w:rsidRDefault="003D0ECA" w:rsidP="00AD3540">
      <w:pPr>
        <w:jc w:val="both"/>
      </w:pPr>
      <w:r>
        <w:t>We</w:t>
      </w:r>
      <w:r w:rsidR="00B7197E">
        <w:t xml:space="preserve"> welcome </w:t>
      </w:r>
      <w:r w:rsidR="00977271">
        <w:t xml:space="preserve">John </w:t>
      </w:r>
      <w:proofErr w:type="spellStart"/>
      <w:r w:rsidR="00977271">
        <w:t>Cussans</w:t>
      </w:r>
      <w:proofErr w:type="spellEnd"/>
      <w:r w:rsidR="00977271">
        <w:t xml:space="preserve"> </w:t>
      </w:r>
      <w:r w:rsidR="00A704A5">
        <w:t>(</w:t>
      </w:r>
      <w:r w:rsidR="00977271">
        <w:t>NIAB</w:t>
      </w:r>
      <w:r w:rsidR="00A704A5">
        <w:t xml:space="preserve">) and </w:t>
      </w:r>
      <w:r w:rsidR="007616A3">
        <w:t>M</w:t>
      </w:r>
      <w:r w:rsidR="007616A3" w:rsidRPr="007616A3">
        <w:t>ark</w:t>
      </w:r>
      <w:r w:rsidR="007616A3">
        <w:t xml:space="preserve"> H</w:t>
      </w:r>
      <w:r w:rsidR="007616A3" w:rsidRPr="007616A3">
        <w:t>emmant</w:t>
      </w:r>
      <w:r w:rsidR="007616A3">
        <w:t xml:space="preserve"> (</w:t>
      </w:r>
      <w:proofErr w:type="spellStart"/>
      <w:r w:rsidR="007616A3">
        <w:t>Agrovista</w:t>
      </w:r>
      <w:proofErr w:type="spellEnd"/>
      <w:r w:rsidR="007616A3">
        <w:t>, representing AIC)</w:t>
      </w:r>
      <w:r w:rsidR="00FC351B">
        <w:t xml:space="preserve"> who</w:t>
      </w:r>
      <w:r w:rsidR="00977271">
        <w:t xml:space="preserve"> will join the group</w:t>
      </w:r>
      <w:r w:rsidR="009B3B92">
        <w:t xml:space="preserve"> starting with the </w:t>
      </w:r>
      <w:r w:rsidR="00563391">
        <w:t>October</w:t>
      </w:r>
      <w:r w:rsidR="009B3B92">
        <w:t xml:space="preserve"> 2022 meeting</w:t>
      </w:r>
      <w:r w:rsidR="00490281">
        <w:t xml:space="preserve">.  </w:t>
      </w:r>
    </w:p>
    <w:p w14:paraId="16346D41" w14:textId="18B24AA6" w:rsidR="00AD3540" w:rsidRDefault="00AD3540" w:rsidP="00AD3540">
      <w:pPr>
        <w:jc w:val="both"/>
      </w:pPr>
    </w:p>
    <w:p w14:paraId="745023B6" w14:textId="04FD87CA" w:rsidR="00AD3540" w:rsidRDefault="0032457F" w:rsidP="00AD3540">
      <w:pPr>
        <w:jc w:val="both"/>
      </w:pPr>
      <w:r>
        <w:rPr>
          <w:b/>
          <w:bCs/>
        </w:rPr>
        <w:t xml:space="preserve">Update on </w:t>
      </w:r>
      <w:r w:rsidR="00DE1A8D">
        <w:rPr>
          <w:b/>
          <w:bCs/>
        </w:rPr>
        <w:t>m</w:t>
      </w:r>
      <w:r w:rsidR="00AD3540" w:rsidRPr="0064000D">
        <w:rPr>
          <w:b/>
          <w:bCs/>
        </w:rPr>
        <w:t xml:space="preserve">inutes of last Steering Group Meeting on </w:t>
      </w:r>
      <w:r w:rsidR="003913BA">
        <w:rPr>
          <w:b/>
          <w:bCs/>
        </w:rPr>
        <w:t>2</w:t>
      </w:r>
      <w:r w:rsidR="0027456F">
        <w:rPr>
          <w:b/>
          <w:bCs/>
        </w:rPr>
        <w:t>8</w:t>
      </w:r>
      <w:r w:rsidR="003913BA">
        <w:rPr>
          <w:b/>
          <w:bCs/>
        </w:rPr>
        <w:t>/</w:t>
      </w:r>
      <w:r w:rsidR="0027456F">
        <w:rPr>
          <w:b/>
          <w:bCs/>
        </w:rPr>
        <w:t>10</w:t>
      </w:r>
      <w:r w:rsidR="003913BA">
        <w:rPr>
          <w:b/>
          <w:bCs/>
        </w:rPr>
        <w:t>/21</w:t>
      </w:r>
      <w:r w:rsidR="00AD3540">
        <w:t xml:space="preserve">: </w:t>
      </w:r>
    </w:p>
    <w:p w14:paraId="1F5CF0F0" w14:textId="4B93EB4C" w:rsidR="00AD3540" w:rsidRDefault="00AD3540" w:rsidP="00AD3540">
      <w:pPr>
        <w:jc w:val="both"/>
      </w:pPr>
    </w:p>
    <w:p w14:paraId="1C30B3DC" w14:textId="40ACA600" w:rsidR="004D53B1" w:rsidRPr="0080234E" w:rsidRDefault="004278CD" w:rsidP="004874F5">
      <w:pPr>
        <w:jc w:val="both"/>
        <w:rPr>
          <w:color w:val="000000"/>
          <w:lang w:eastAsia="en-GB"/>
        </w:rPr>
      </w:pPr>
      <w:r w:rsidRPr="0080234E">
        <w:t>EPPO</w:t>
      </w:r>
      <w:r w:rsidR="004874F5" w:rsidRPr="0080234E">
        <w:t xml:space="preserve"> resistance</w:t>
      </w:r>
      <w:r w:rsidR="004874F5" w:rsidRPr="0080234E">
        <w:rPr>
          <w:color w:val="000000"/>
          <w:lang w:eastAsia="en-GB"/>
        </w:rPr>
        <w:t xml:space="preserve"> database and cleansing/reporting cases – any need for action?</w:t>
      </w:r>
    </w:p>
    <w:p w14:paraId="3A692627" w14:textId="6EE987B9" w:rsidR="004874F5" w:rsidRDefault="004874F5" w:rsidP="004874F5">
      <w:pPr>
        <w:jc w:val="both"/>
        <w:rPr>
          <w:rFonts w:ascii="Segoe UI" w:hAnsi="Segoe UI" w:cs="Segoe UI"/>
          <w:color w:val="000000"/>
          <w:sz w:val="21"/>
          <w:szCs w:val="21"/>
          <w:lang w:eastAsia="en-GB"/>
        </w:rPr>
      </w:pPr>
    </w:p>
    <w:p w14:paraId="1008B115" w14:textId="658CF8A8" w:rsidR="004874F5" w:rsidRDefault="001F61F4" w:rsidP="001F61F4">
      <w:pPr>
        <w:pStyle w:val="ListParagraph"/>
        <w:numPr>
          <w:ilvl w:val="0"/>
          <w:numId w:val="6"/>
        </w:numPr>
        <w:jc w:val="both"/>
      </w:pPr>
      <w:r>
        <w:t xml:space="preserve">This will become a recurring agenda item for all future WRAG meeting for the group to discuss </w:t>
      </w:r>
    </w:p>
    <w:p w14:paraId="6C2C23AA" w14:textId="3924A19E" w:rsidR="00000340" w:rsidRPr="004874F5" w:rsidRDefault="00000340" w:rsidP="001F61F4">
      <w:pPr>
        <w:pStyle w:val="ListParagraph"/>
        <w:numPr>
          <w:ilvl w:val="0"/>
          <w:numId w:val="6"/>
        </w:numPr>
        <w:jc w:val="both"/>
      </w:pPr>
      <w:r w:rsidRPr="00000340">
        <w:t xml:space="preserve">The aim of this database is to share, across the EPPO region, information about documented cases of resistance to plant protection products (PPP) for weeds, </w:t>
      </w:r>
      <w:proofErr w:type="gramStart"/>
      <w:r w:rsidRPr="00000340">
        <w:t>pests</w:t>
      </w:r>
      <w:proofErr w:type="gramEnd"/>
      <w:r w:rsidRPr="00000340">
        <w:t xml:space="preserve"> and pathogens.</w:t>
      </w:r>
    </w:p>
    <w:p w14:paraId="2F9FB53F" w14:textId="228E0AE3" w:rsidR="004874F5" w:rsidRDefault="009E5FC5" w:rsidP="0027456F">
      <w:pPr>
        <w:pStyle w:val="ListParagraph"/>
        <w:numPr>
          <w:ilvl w:val="0"/>
          <w:numId w:val="6"/>
        </w:numPr>
        <w:jc w:val="both"/>
      </w:pPr>
      <w:r>
        <w:t xml:space="preserve">Please send any comments on existing cases listed on the EPPO database to Ingrid </w:t>
      </w:r>
      <w:r w:rsidR="00D74983">
        <w:t xml:space="preserve">Den Hoed who will pass it onto the relevant </w:t>
      </w:r>
      <w:r w:rsidR="0080234E">
        <w:t>individual</w:t>
      </w:r>
    </w:p>
    <w:p w14:paraId="099DB7A2" w14:textId="2D4D31F7" w:rsidR="007D1507" w:rsidRDefault="007D1507" w:rsidP="0080234E">
      <w:pPr>
        <w:jc w:val="both"/>
      </w:pPr>
    </w:p>
    <w:p w14:paraId="05828FF9" w14:textId="594C0A32" w:rsidR="0080234E" w:rsidRDefault="00D841CF" w:rsidP="0080234E">
      <w:pPr>
        <w:jc w:val="both"/>
      </w:pPr>
      <w:r w:rsidRPr="00D841CF">
        <w:t>Mo</w:t>
      </w:r>
      <w:r>
        <w:t>de of action resistance labell</w:t>
      </w:r>
      <w:r w:rsidRPr="00D841CF">
        <w:t>ing – update</w:t>
      </w:r>
    </w:p>
    <w:p w14:paraId="552FFEF3" w14:textId="2D548180" w:rsidR="00D841CF" w:rsidRDefault="00D841CF" w:rsidP="0080234E">
      <w:pPr>
        <w:jc w:val="both"/>
      </w:pPr>
    </w:p>
    <w:p w14:paraId="7D5A63D2" w14:textId="31D92818" w:rsidR="004A4E5F" w:rsidRDefault="004A4E5F" w:rsidP="00D841CF">
      <w:pPr>
        <w:pStyle w:val="ListParagraph"/>
        <w:numPr>
          <w:ilvl w:val="0"/>
          <w:numId w:val="8"/>
        </w:numPr>
        <w:jc w:val="both"/>
      </w:pPr>
      <w:proofErr w:type="gramStart"/>
      <w:r w:rsidRPr="004A4E5F">
        <w:t>In order to</w:t>
      </w:r>
      <w:proofErr w:type="gramEnd"/>
      <w:r w:rsidRPr="004A4E5F">
        <w:t xml:space="preserve"> support the widespread adoption of responsible resistance management practices, members of the industry body ‘CropLife International’ have made a voluntarily commitment to include Mode of Action (</w:t>
      </w:r>
      <w:proofErr w:type="spellStart"/>
      <w:r w:rsidRPr="004A4E5F">
        <w:t>MoA</w:t>
      </w:r>
      <w:proofErr w:type="spellEnd"/>
      <w:r w:rsidRPr="004A4E5F">
        <w:t>) icons and groups on all product labels by 2023.</w:t>
      </w:r>
      <w:r w:rsidR="00504E4D">
        <w:t xml:space="preserve">  </w:t>
      </w:r>
      <w:r>
        <w:t xml:space="preserve">Some companies are already including this information on draft labels when making submissions to CRD. </w:t>
      </w:r>
      <w:r w:rsidR="00504E4D">
        <w:t xml:space="preserve"> </w:t>
      </w:r>
      <w:r>
        <w:t xml:space="preserve">However, where this is not done CRD are requesting that such information is included. </w:t>
      </w:r>
    </w:p>
    <w:p w14:paraId="1EF76BD7" w14:textId="31769FD9" w:rsidR="003913BA" w:rsidRDefault="003913BA" w:rsidP="00D22147">
      <w:pPr>
        <w:jc w:val="both"/>
      </w:pPr>
    </w:p>
    <w:p w14:paraId="2EDF14A3" w14:textId="77777777" w:rsidR="00B07CCB" w:rsidRDefault="00B07CCB" w:rsidP="00D22147">
      <w:pPr>
        <w:jc w:val="both"/>
      </w:pPr>
    </w:p>
    <w:p w14:paraId="4FCE90A0" w14:textId="459FAE25" w:rsidR="00B07CCB" w:rsidRPr="0067368A" w:rsidRDefault="00B07CCB" w:rsidP="00B07CCB">
      <w:pPr>
        <w:pStyle w:val="ListParagraph"/>
        <w:numPr>
          <w:ilvl w:val="0"/>
          <w:numId w:val="10"/>
        </w:numPr>
        <w:jc w:val="both"/>
        <w:rPr>
          <w:b/>
          <w:bCs/>
        </w:rPr>
      </w:pPr>
      <w:r w:rsidRPr="0067368A">
        <w:rPr>
          <w:b/>
          <w:bCs/>
        </w:rPr>
        <w:t>Mode of action change – UK grassweeds active document</w:t>
      </w:r>
      <w:r w:rsidR="0068212F" w:rsidRPr="0067368A">
        <w:rPr>
          <w:b/>
          <w:bCs/>
        </w:rPr>
        <w:t xml:space="preserve"> (Richard Hull)</w:t>
      </w:r>
    </w:p>
    <w:p w14:paraId="41C00EB8" w14:textId="27FCDDD8" w:rsidR="00B07CCB" w:rsidRDefault="00B07CCB" w:rsidP="00B07CCB">
      <w:pPr>
        <w:jc w:val="both"/>
      </w:pPr>
    </w:p>
    <w:p w14:paraId="2AD76895" w14:textId="4ADDECB0" w:rsidR="00B07CCB" w:rsidRDefault="00D339EA" w:rsidP="00B07CCB">
      <w:pPr>
        <w:jc w:val="both"/>
      </w:pPr>
      <w:r>
        <w:t>A</w:t>
      </w:r>
      <w:r w:rsidR="00517C6A">
        <w:t xml:space="preserve"> </w:t>
      </w:r>
      <w:r w:rsidR="00C365BF">
        <w:t>revised</w:t>
      </w:r>
      <w:r w:rsidR="00517C6A">
        <w:t xml:space="preserve"> version of a </w:t>
      </w:r>
      <w:r w:rsidR="00A1407C">
        <w:t xml:space="preserve">document that lists all herbicide active that have some level of control of black-grass, </w:t>
      </w:r>
      <w:r w:rsidR="00517C6A">
        <w:t>I</w:t>
      </w:r>
      <w:r w:rsidR="00A1407C">
        <w:t xml:space="preserve">talian </w:t>
      </w:r>
      <w:r w:rsidR="006A027C">
        <w:t>ryegrass</w:t>
      </w:r>
      <w:r w:rsidR="00A1407C">
        <w:t xml:space="preserve"> and </w:t>
      </w:r>
      <w:r w:rsidR="00517C6A">
        <w:t xml:space="preserve">wild-oats has been </w:t>
      </w:r>
      <w:r w:rsidR="005E1338">
        <w:t xml:space="preserve">updated.  This document now includes </w:t>
      </w:r>
      <w:r w:rsidR="00481BAD">
        <w:t>recent changes to the herbicide mode of action groups and includes the existing lettering system with the new numbers</w:t>
      </w:r>
      <w:r w:rsidR="00732E06">
        <w:t xml:space="preserve"> scheme.  This new document will hopefully go onto the WRAG web pages by mid-April</w:t>
      </w:r>
      <w:r w:rsidR="00A55A1B">
        <w:t>.</w:t>
      </w:r>
      <w:r w:rsidR="00877087">
        <w:t xml:space="preserve">  Only herbicide actives currently approved are listed</w:t>
      </w:r>
      <w:r w:rsidR="006A027C">
        <w:t>.</w:t>
      </w:r>
    </w:p>
    <w:p w14:paraId="32035D25" w14:textId="46192404" w:rsidR="00A55A1B" w:rsidRDefault="00A55A1B" w:rsidP="00B07CCB">
      <w:pPr>
        <w:jc w:val="both"/>
      </w:pPr>
    </w:p>
    <w:p w14:paraId="4D87838C" w14:textId="7463D51D" w:rsidR="00A55A1B" w:rsidRDefault="00A55A1B" w:rsidP="00B07CCB">
      <w:pPr>
        <w:jc w:val="both"/>
      </w:pPr>
      <w:r>
        <w:t>There was a discussion around adding other gras</w:t>
      </w:r>
      <w:r w:rsidR="003924D1">
        <w:t xml:space="preserve">sweeds to this document, such as bromes or rats </w:t>
      </w:r>
      <w:proofErr w:type="spellStart"/>
      <w:r w:rsidR="003924D1">
        <w:t>tail</w:t>
      </w:r>
      <w:proofErr w:type="spellEnd"/>
      <w:r w:rsidR="003924D1">
        <w:t xml:space="preserve"> fescue.  The group felt it best to </w:t>
      </w:r>
      <w:r w:rsidR="00B45A05">
        <w:t>just keep this table to the three existing species and if needed WRAG will produce separate tables for other grassweeds in</w:t>
      </w:r>
      <w:r w:rsidR="00C365BF">
        <w:t xml:space="preserve"> </w:t>
      </w:r>
      <w:r w:rsidR="00B45A05">
        <w:t>future.</w:t>
      </w:r>
    </w:p>
    <w:p w14:paraId="5B2AFA08" w14:textId="1AC6EEDC" w:rsidR="00B45A05" w:rsidRDefault="00B45A05" w:rsidP="00B07CCB">
      <w:pPr>
        <w:jc w:val="both"/>
      </w:pPr>
    </w:p>
    <w:p w14:paraId="07E1587B" w14:textId="5E797E8D" w:rsidR="00C771EE" w:rsidRDefault="00C365BF" w:rsidP="00B07CCB">
      <w:pPr>
        <w:jc w:val="both"/>
      </w:pPr>
      <w:r>
        <w:t xml:space="preserve">This table is intended to be a living document, therefore please email </w:t>
      </w:r>
      <w:r w:rsidR="00686751">
        <w:t>Richard Hull i</w:t>
      </w:r>
      <w:r w:rsidR="00CA7C37">
        <w:t>f</w:t>
      </w:r>
      <w:r w:rsidR="00686751">
        <w:t xml:space="preserve"> any alterations need to be made</w:t>
      </w:r>
      <w:r w:rsidR="00786EEC">
        <w:t>, either adding new actives or removal</w:t>
      </w:r>
      <w:r w:rsidR="004313D2">
        <w:t xml:space="preserve"> from the list.</w:t>
      </w:r>
    </w:p>
    <w:p w14:paraId="4DF54296" w14:textId="77777777" w:rsidR="003764A7" w:rsidRDefault="003764A7" w:rsidP="00B07CCB">
      <w:pPr>
        <w:jc w:val="both"/>
      </w:pPr>
    </w:p>
    <w:p w14:paraId="368546DE" w14:textId="31FC84A9" w:rsidR="006A027C" w:rsidRDefault="006A027C" w:rsidP="00B07CCB">
      <w:pPr>
        <w:jc w:val="both"/>
      </w:pPr>
    </w:p>
    <w:p w14:paraId="3F7A06A2" w14:textId="4B71FFEE" w:rsidR="006A027C" w:rsidRPr="0067368A" w:rsidRDefault="004313D2" w:rsidP="003764A7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 w:rsidRPr="0067368A">
        <w:rPr>
          <w:b/>
          <w:bCs/>
        </w:rPr>
        <w:t>Resistance risks of applying sub-optimal dose rates of glyphosate – need for any communications? (James Clarke)</w:t>
      </w:r>
    </w:p>
    <w:p w14:paraId="6F741C82" w14:textId="06B00744" w:rsidR="002E4329" w:rsidRDefault="002E4329" w:rsidP="002E4329">
      <w:pPr>
        <w:jc w:val="both"/>
      </w:pPr>
    </w:p>
    <w:p w14:paraId="2A136A9C" w14:textId="08CF0461" w:rsidR="002E4329" w:rsidRDefault="00C73F4E" w:rsidP="002E4329">
      <w:pPr>
        <w:jc w:val="both"/>
      </w:pPr>
      <w:r>
        <w:t xml:space="preserve">Bayer has been very proactive in this area already in the farming </w:t>
      </w:r>
      <w:proofErr w:type="gramStart"/>
      <w:r w:rsidR="008845E8">
        <w:t>arena</w:t>
      </w:r>
      <w:r>
        <w:t>, but</w:t>
      </w:r>
      <w:proofErr w:type="gramEnd"/>
      <w:r>
        <w:t xml:space="preserve"> are keen to do more and a discussion was had around what else could done and </w:t>
      </w:r>
      <w:r w:rsidR="00BD221C">
        <w:t>where could the information be found.  In February Bayer had an article in the Farmers Weekly</w:t>
      </w:r>
      <w:r w:rsidR="002717D1">
        <w:t xml:space="preserve"> highlighting the key issues </w:t>
      </w:r>
      <w:r w:rsidR="00C47000">
        <w:t>on the subject and</w:t>
      </w:r>
      <w:r w:rsidR="007359C9">
        <w:t xml:space="preserve"> have been working with the AICC on podcasts and blog posts.  They have a booklet coming out in April’s CPM magazine</w:t>
      </w:r>
      <w:r w:rsidR="008441CF">
        <w:t xml:space="preserve"> plus more coverage in upcoming September issue which is </w:t>
      </w:r>
      <w:r w:rsidR="008C3A15">
        <w:t xml:space="preserve">the key timings for guidance on </w:t>
      </w:r>
      <w:r w:rsidR="008845E8">
        <w:t>control prior to autumn sown crops.</w:t>
      </w:r>
      <w:r w:rsidR="002717D1">
        <w:t xml:space="preserve"> </w:t>
      </w:r>
      <w:r w:rsidR="008E7B45">
        <w:t xml:space="preserve"> It was suggested they could contact Pro Operator magazine to target the </w:t>
      </w:r>
      <w:r w:rsidR="003C1DF3">
        <w:t xml:space="preserve">spray operator sector and NACS which is </w:t>
      </w:r>
      <w:r w:rsidR="00194C90">
        <w:t>a contractor’s magazine.</w:t>
      </w:r>
    </w:p>
    <w:p w14:paraId="5F2726B1" w14:textId="7C042AC4" w:rsidR="00194C90" w:rsidRDefault="00194C90" w:rsidP="002E4329">
      <w:pPr>
        <w:jc w:val="both"/>
      </w:pPr>
    </w:p>
    <w:p w14:paraId="46E99292" w14:textId="31D2E95A" w:rsidR="00194C90" w:rsidRDefault="00290CDE" w:rsidP="00B86AF2">
      <w:pPr>
        <w:jc w:val="both"/>
      </w:pPr>
      <w:r>
        <w:t>WRAG is happy to help with the dissemination of information in anyway it can</w:t>
      </w:r>
      <w:r w:rsidR="00D55038">
        <w:t>.  AHDB have said they can</w:t>
      </w:r>
      <w:r w:rsidR="00C77CAC">
        <w:t xml:space="preserve"> put</w:t>
      </w:r>
      <w:r w:rsidR="00D55038">
        <w:t xml:space="preserve"> out something on their </w:t>
      </w:r>
      <w:r w:rsidR="00E21499">
        <w:t xml:space="preserve">IPM hub which will link to the </w:t>
      </w:r>
      <w:r w:rsidR="00B86AF2">
        <w:t xml:space="preserve">‘Guidelines for minimising the risk of glyphosate resistance in the UK’ which are on the WRAG website. </w:t>
      </w:r>
    </w:p>
    <w:p w14:paraId="224C89C9" w14:textId="6D4EA08F" w:rsidR="000714C0" w:rsidRDefault="000714C0" w:rsidP="00B86AF2">
      <w:pPr>
        <w:jc w:val="both"/>
      </w:pPr>
    </w:p>
    <w:p w14:paraId="7C728528" w14:textId="6A787A2D" w:rsidR="000714C0" w:rsidRDefault="000714C0" w:rsidP="00B86AF2">
      <w:pPr>
        <w:jc w:val="both"/>
      </w:pPr>
      <w:r>
        <w:t xml:space="preserve">Roger Bradbury (Bayer) </w:t>
      </w:r>
      <w:r w:rsidR="00C852AD">
        <w:t xml:space="preserve">who is leading this campaign </w:t>
      </w:r>
      <w:r>
        <w:t>will attend the next WRAG meeting to give an update</w:t>
      </w:r>
      <w:r w:rsidR="00C852AD">
        <w:t>.</w:t>
      </w:r>
    </w:p>
    <w:p w14:paraId="2AF3FEA5" w14:textId="6D7CC1CD" w:rsidR="00C852AD" w:rsidRDefault="00C852AD" w:rsidP="00B86AF2">
      <w:pPr>
        <w:jc w:val="both"/>
      </w:pPr>
    </w:p>
    <w:p w14:paraId="6623C8B6" w14:textId="4E5D834C" w:rsidR="00C852AD" w:rsidRPr="0067368A" w:rsidRDefault="005A3EDB" w:rsidP="005A3EDB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 w:rsidRPr="0067368A">
        <w:rPr>
          <w:b/>
          <w:bCs/>
        </w:rPr>
        <w:t>CRD update</w:t>
      </w:r>
      <w:r w:rsidR="0068212F" w:rsidRPr="0067368A">
        <w:rPr>
          <w:b/>
          <w:bCs/>
        </w:rPr>
        <w:t xml:space="preserve"> (Ingrid Den Hoed)</w:t>
      </w:r>
    </w:p>
    <w:p w14:paraId="223D0312" w14:textId="19CD8084" w:rsidR="005A3EDB" w:rsidRDefault="005A3EDB" w:rsidP="005A3EDB">
      <w:pPr>
        <w:jc w:val="both"/>
      </w:pPr>
    </w:p>
    <w:p w14:paraId="5D418B4D" w14:textId="61B4E8FB" w:rsidR="00BD7AC2" w:rsidRDefault="00500E22" w:rsidP="005A3EDB">
      <w:pPr>
        <w:jc w:val="both"/>
      </w:pPr>
      <w:r>
        <w:t>Training up the new starters has been a priority for staff that have joined in the last 6 – 12 months</w:t>
      </w:r>
      <w:r w:rsidR="006D150E">
        <w:t xml:space="preserve"> with another round of recruitment soon.</w:t>
      </w:r>
      <w:r w:rsidR="006C4EAB">
        <w:t xml:space="preserve">  There has been a big focus on evaluation work recently</w:t>
      </w:r>
      <w:r w:rsidR="00853019">
        <w:t xml:space="preserve"> and there </w:t>
      </w:r>
      <w:r w:rsidR="00BC3D3E">
        <w:t xml:space="preserve">will be a call for new research / project ideas, but not </w:t>
      </w:r>
      <w:r w:rsidR="00BD7AC2">
        <w:t>primarily</w:t>
      </w:r>
      <w:r w:rsidR="00BC3D3E">
        <w:t xml:space="preserve"> </w:t>
      </w:r>
      <w:r w:rsidR="00BD7AC2">
        <w:t>focused on weeds</w:t>
      </w:r>
      <w:r w:rsidR="004A4E5F">
        <w:t xml:space="preserve"> to date</w:t>
      </w:r>
      <w:r w:rsidR="005865EA">
        <w:t>.</w:t>
      </w:r>
      <w:r w:rsidR="004A4E5F">
        <w:t xml:space="preserve"> If there are any suggestions for small R&amp;D projects related to </w:t>
      </w:r>
      <w:proofErr w:type="gramStart"/>
      <w:r w:rsidR="004A4E5F">
        <w:t>weeds</w:t>
      </w:r>
      <w:proofErr w:type="gramEnd"/>
      <w:r w:rsidR="004A4E5F">
        <w:t xml:space="preserve"> then these should be sent to Ingrid initially. </w:t>
      </w:r>
    </w:p>
    <w:p w14:paraId="77141845" w14:textId="58F3F3C5" w:rsidR="005865EA" w:rsidRDefault="005865EA" w:rsidP="005A3EDB">
      <w:pPr>
        <w:jc w:val="both"/>
      </w:pPr>
    </w:p>
    <w:p w14:paraId="7A9A5FA8" w14:textId="77777777" w:rsidR="005865EA" w:rsidRDefault="005865EA" w:rsidP="005A3EDB">
      <w:pPr>
        <w:jc w:val="both"/>
      </w:pPr>
    </w:p>
    <w:p w14:paraId="663EAFA9" w14:textId="7206014E" w:rsidR="00BD7AC2" w:rsidRPr="0067368A" w:rsidRDefault="00401A0C" w:rsidP="00401A0C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 w:rsidRPr="0067368A">
        <w:rPr>
          <w:b/>
          <w:bCs/>
        </w:rPr>
        <w:t xml:space="preserve">Review of two black-grass genome </w:t>
      </w:r>
      <w:r w:rsidR="0067368A">
        <w:rPr>
          <w:b/>
          <w:bCs/>
        </w:rPr>
        <w:t>projects / papers</w:t>
      </w:r>
      <w:r w:rsidRPr="0067368A">
        <w:rPr>
          <w:b/>
          <w:bCs/>
        </w:rPr>
        <w:t xml:space="preserve"> (David Comont)</w:t>
      </w:r>
    </w:p>
    <w:p w14:paraId="1C8E408A" w14:textId="33A730E7" w:rsidR="00401A0C" w:rsidRDefault="00401A0C" w:rsidP="00401A0C">
      <w:pPr>
        <w:jc w:val="both"/>
      </w:pPr>
    </w:p>
    <w:p w14:paraId="7139426B" w14:textId="56A0385D" w:rsidR="00D61481" w:rsidRDefault="00D61481" w:rsidP="00D61481">
      <w:pPr>
        <w:jc w:val="both"/>
      </w:pPr>
      <w:r>
        <w:t>Over</w:t>
      </w:r>
      <w:r w:rsidR="0016449A">
        <w:t>view</w:t>
      </w:r>
      <w:r>
        <w:t>:</w:t>
      </w:r>
    </w:p>
    <w:p w14:paraId="79730C11" w14:textId="77777777" w:rsidR="00D61481" w:rsidRDefault="00D61481" w:rsidP="00D61481">
      <w:pPr>
        <w:jc w:val="both"/>
      </w:pPr>
    </w:p>
    <w:p w14:paraId="09FEE631" w14:textId="4A7AB3A4" w:rsidR="00940A07" w:rsidRDefault="00D61481" w:rsidP="00D61481">
      <w:pPr>
        <w:jc w:val="both"/>
      </w:pPr>
      <w:r>
        <w:lastRenderedPageBreak/>
        <w:t xml:space="preserve">Both studies used </w:t>
      </w:r>
      <w:proofErr w:type="gramStart"/>
      <w:r>
        <w:t>a</w:t>
      </w:r>
      <w:proofErr w:type="gramEnd"/>
      <w:r>
        <w:t xml:space="preserve"> herbicide sensitive population for sequencing the genome – For the Bayer genome that was the Rothamsted </w:t>
      </w:r>
      <w:proofErr w:type="spellStart"/>
      <w:r w:rsidR="00483384">
        <w:t>B</w:t>
      </w:r>
      <w:r>
        <w:t>roadbalk</w:t>
      </w:r>
      <w:proofErr w:type="spellEnd"/>
      <w:r>
        <w:t xml:space="preserve"> population, which has never been sprayed with herbicide.</w:t>
      </w:r>
      <w:r w:rsidR="00483384">
        <w:t xml:space="preserve">  </w:t>
      </w:r>
      <w:r>
        <w:t xml:space="preserve">For the BASF / </w:t>
      </w:r>
      <w:r w:rsidR="00483384">
        <w:t>M</w:t>
      </w:r>
      <w:r>
        <w:t xml:space="preserve">ax </w:t>
      </w:r>
      <w:r w:rsidR="00483384">
        <w:t>P</w:t>
      </w:r>
      <w:r>
        <w:t>lanck genome they used a sensitive German population.</w:t>
      </w:r>
      <w:r w:rsidR="00FD3ABF">
        <w:t xml:space="preserve">  </w:t>
      </w:r>
      <w:r>
        <w:t>Both studies have then also done some additional sequencing of herbicide resistant populations, to get some insight into the genetic basis of resistance</w:t>
      </w:r>
      <w:r w:rsidR="005C5539">
        <w:t xml:space="preserve">.  </w:t>
      </w:r>
      <w:r>
        <w:t>Broadly, the Bayer genome looked at non-target-site resistance, while the BASF genome looked at target site.</w:t>
      </w:r>
    </w:p>
    <w:p w14:paraId="7D19C6D5" w14:textId="77777777" w:rsidR="005C5539" w:rsidRDefault="005C5539" w:rsidP="00D61481">
      <w:pPr>
        <w:jc w:val="both"/>
      </w:pPr>
    </w:p>
    <w:p w14:paraId="08947F30" w14:textId="77777777" w:rsidR="005C5539" w:rsidRDefault="005C5539" w:rsidP="005C5539">
      <w:pPr>
        <w:pStyle w:val="ListParagraph"/>
        <w:numPr>
          <w:ilvl w:val="0"/>
          <w:numId w:val="8"/>
        </w:numPr>
        <w:jc w:val="both"/>
      </w:pPr>
      <w:r>
        <w:t xml:space="preserve">Blackgrass is a diploid species, and the two studies confirm that the genome is arranged as seven chromosomes.  </w:t>
      </w:r>
    </w:p>
    <w:p w14:paraId="43E014BA" w14:textId="77777777" w:rsidR="005C5539" w:rsidRDefault="005C5539" w:rsidP="005C5539">
      <w:pPr>
        <w:pStyle w:val="ListParagraph"/>
        <w:numPr>
          <w:ilvl w:val="0"/>
          <w:numId w:val="8"/>
        </w:numPr>
        <w:jc w:val="both"/>
      </w:pPr>
      <w:r>
        <w:t xml:space="preserve">Both studies confirmed that the genome is large, at about 3.5 Giga base pairs long. That’s not as big as Barley or Wheat, but it is still large. Lolium </w:t>
      </w:r>
      <w:proofErr w:type="spellStart"/>
      <w:r>
        <w:t>perene</w:t>
      </w:r>
      <w:proofErr w:type="spellEnd"/>
      <w:r>
        <w:t xml:space="preserve"> is 2.5 </w:t>
      </w:r>
      <w:proofErr w:type="spellStart"/>
      <w:r>
        <w:t>Gbp</w:t>
      </w:r>
      <w:proofErr w:type="spellEnd"/>
      <w:r>
        <w:t xml:space="preserve">, rice 0.5Gbp.  </w:t>
      </w:r>
    </w:p>
    <w:p w14:paraId="0687F792" w14:textId="77777777" w:rsidR="005C5539" w:rsidRDefault="005C5539" w:rsidP="005C5539">
      <w:pPr>
        <w:pStyle w:val="ListParagraph"/>
        <w:numPr>
          <w:ilvl w:val="0"/>
          <w:numId w:val="8"/>
        </w:numPr>
        <w:jc w:val="both"/>
      </w:pPr>
      <w:r>
        <w:t xml:space="preserve">Both studies also found that the genome was also very heterozygous. </w:t>
      </w:r>
    </w:p>
    <w:p w14:paraId="293140E8" w14:textId="77777777" w:rsidR="005C5539" w:rsidRDefault="005C5539" w:rsidP="005C5539">
      <w:pPr>
        <w:pStyle w:val="ListParagraph"/>
        <w:numPr>
          <w:ilvl w:val="0"/>
          <w:numId w:val="8"/>
        </w:numPr>
        <w:jc w:val="both"/>
      </w:pPr>
      <w:r>
        <w:t xml:space="preserve">Blackgrass has a large, relatively </w:t>
      </w:r>
      <w:proofErr w:type="gramStart"/>
      <w:r>
        <w:t>diverse</w:t>
      </w:r>
      <w:proofErr w:type="gramEnd"/>
      <w:r>
        <w:t xml:space="preserve"> and plastic genome.</w:t>
      </w:r>
    </w:p>
    <w:p w14:paraId="46E99460" w14:textId="09EDF28E" w:rsidR="0054520E" w:rsidRDefault="0054520E" w:rsidP="00D61481">
      <w:pPr>
        <w:jc w:val="both"/>
      </w:pPr>
    </w:p>
    <w:p w14:paraId="66268704" w14:textId="280D69BF" w:rsidR="008D571A" w:rsidRDefault="008D571A" w:rsidP="008D571A">
      <w:pPr>
        <w:jc w:val="both"/>
      </w:pPr>
      <w:r>
        <w:t>BAYER genome:</w:t>
      </w:r>
    </w:p>
    <w:p w14:paraId="259E8A5F" w14:textId="77777777" w:rsidR="003A3B12" w:rsidRDefault="003A3B12" w:rsidP="008D571A">
      <w:pPr>
        <w:jc w:val="both"/>
      </w:pPr>
    </w:p>
    <w:p w14:paraId="6F168B1A" w14:textId="4E2F2B03" w:rsidR="008D571A" w:rsidRDefault="008D571A" w:rsidP="007E74DE">
      <w:pPr>
        <w:pStyle w:val="ListParagraph"/>
        <w:numPr>
          <w:ilvl w:val="0"/>
          <w:numId w:val="8"/>
        </w:numPr>
        <w:jc w:val="both"/>
      </w:pPr>
      <w:r>
        <w:t>For the Bayer</w:t>
      </w:r>
      <w:r w:rsidR="003A3B12">
        <w:t>,</w:t>
      </w:r>
      <w:r>
        <w:t xml:space="preserve"> Clemson, Rothamsted genome the focus was enhanced metabolism-based herbicide resistance, specifically to the </w:t>
      </w:r>
      <w:proofErr w:type="spellStart"/>
      <w:r>
        <w:t>ACCase</w:t>
      </w:r>
      <w:proofErr w:type="spellEnd"/>
      <w:r>
        <w:t xml:space="preserve"> herbicides, as screened using fenoxaprop.</w:t>
      </w:r>
    </w:p>
    <w:p w14:paraId="4CB73368" w14:textId="60EFC03E" w:rsidR="008D571A" w:rsidRDefault="008D571A" w:rsidP="00CD4BF3">
      <w:pPr>
        <w:pStyle w:val="ListParagraph"/>
        <w:numPr>
          <w:ilvl w:val="0"/>
          <w:numId w:val="8"/>
        </w:numPr>
        <w:jc w:val="both"/>
      </w:pPr>
      <w:r>
        <w:t xml:space="preserve">The paper took two field evolved populations with NTSR, and these were </w:t>
      </w:r>
      <w:proofErr w:type="spellStart"/>
      <w:r>
        <w:t>Peldon</w:t>
      </w:r>
      <w:proofErr w:type="spellEnd"/>
      <w:r>
        <w:t xml:space="preserve"> and one from</w:t>
      </w:r>
      <w:r w:rsidR="00290F3F">
        <w:t xml:space="preserve"> the</w:t>
      </w:r>
      <w:r>
        <w:t xml:space="preserve"> </w:t>
      </w:r>
      <w:r w:rsidR="00290F3F">
        <w:t>Rothamsted</w:t>
      </w:r>
      <w:r>
        <w:t xml:space="preserve"> collection called Lola91</w:t>
      </w:r>
      <w:r w:rsidR="00185F17">
        <w:t xml:space="preserve"> and g</w:t>
      </w:r>
      <w:r>
        <w:t>enerate</w:t>
      </w:r>
      <w:r w:rsidR="00D539E2">
        <w:t>d</w:t>
      </w:r>
      <w:r>
        <w:t xml:space="preserve"> seed lines with a standardised genetic background, </w:t>
      </w:r>
      <w:r w:rsidR="00CF235D">
        <w:t>after a couple of generations of crossing</w:t>
      </w:r>
      <w:r>
        <w:t xml:space="preserve"> </w:t>
      </w:r>
      <w:r w:rsidR="006F3D93">
        <w:t>they identified the most- and least- resistant plants by screening with fenoxaprop, to use for sequencing of gene expression and DNA mutations</w:t>
      </w:r>
      <w:r w:rsidR="0002692C">
        <w:t xml:space="preserve"> which gave </w:t>
      </w:r>
      <w:r>
        <w:t>robust material to look for genetic architecture associated with NTSR resistance</w:t>
      </w:r>
      <w:r w:rsidR="0002692C">
        <w:t>.</w:t>
      </w:r>
    </w:p>
    <w:p w14:paraId="2B3BF2A7" w14:textId="618A7E18" w:rsidR="008D571A" w:rsidRDefault="0025380B" w:rsidP="00565A75">
      <w:pPr>
        <w:pStyle w:val="ListParagraph"/>
        <w:numPr>
          <w:ilvl w:val="0"/>
          <w:numId w:val="8"/>
        </w:numPr>
        <w:jc w:val="both"/>
      </w:pPr>
      <w:r>
        <w:t>T</w:t>
      </w:r>
      <w:r w:rsidR="008D571A">
        <w:t>he study found was that out of 20,000 genes studied, 68 were consistently associated with resistance in both populations, mostly with increased expression levels.</w:t>
      </w:r>
    </w:p>
    <w:p w14:paraId="0CC83ACA" w14:textId="77777777" w:rsidR="001B777A" w:rsidRDefault="001B777A" w:rsidP="001B777A">
      <w:pPr>
        <w:pStyle w:val="ListParagraph"/>
        <w:numPr>
          <w:ilvl w:val="0"/>
          <w:numId w:val="8"/>
        </w:numPr>
        <w:jc w:val="both"/>
      </w:pPr>
      <w:r>
        <w:t xml:space="preserve">What the results also showed though is that 341 and 234 genes were uniquely associated with resistance (differentially expressed) in one population or the other – but not both. </w:t>
      </w:r>
    </w:p>
    <w:p w14:paraId="35D8AA4A" w14:textId="6F8C8EA1" w:rsidR="008D571A" w:rsidRDefault="0051314E" w:rsidP="00565A75">
      <w:pPr>
        <w:pStyle w:val="ListParagraph"/>
        <w:numPr>
          <w:ilvl w:val="0"/>
          <w:numId w:val="8"/>
        </w:numPr>
        <w:jc w:val="both"/>
      </w:pPr>
      <w:r>
        <w:t>A</w:t>
      </w:r>
      <w:r w:rsidR="008D571A">
        <w:t xml:space="preserve">s </w:t>
      </w:r>
      <w:proofErr w:type="gramStart"/>
      <w:r w:rsidR="008D571A">
        <w:t>expected</w:t>
      </w:r>
      <w:proofErr w:type="gramEnd"/>
      <w:r w:rsidR="008D571A">
        <w:t xml:space="preserve"> there were several GSTs, P450s, ABC transporters up-regulated in the ‘R’ plants, which have all been implicated in the past.</w:t>
      </w:r>
    </w:p>
    <w:p w14:paraId="6EE23029" w14:textId="394BB44D" w:rsidR="008D571A" w:rsidRDefault="008D571A" w:rsidP="00565A75">
      <w:pPr>
        <w:pStyle w:val="ListParagraph"/>
        <w:numPr>
          <w:ilvl w:val="0"/>
          <w:numId w:val="8"/>
        </w:numPr>
        <w:jc w:val="both"/>
      </w:pPr>
      <w:r>
        <w:t xml:space="preserve">We expect there to be some genes like this just due to chance – but it is probable that some of these genes represent part of the resistance architecture which is specific to the </w:t>
      </w:r>
      <w:r w:rsidR="006A296E">
        <w:t>population</w:t>
      </w:r>
      <w:r>
        <w:t xml:space="preserve">. </w:t>
      </w:r>
    </w:p>
    <w:p w14:paraId="770D3F07" w14:textId="77777777" w:rsidR="008D571A" w:rsidRDefault="008D571A" w:rsidP="008D571A">
      <w:pPr>
        <w:jc w:val="both"/>
      </w:pPr>
    </w:p>
    <w:p w14:paraId="4D244C99" w14:textId="775E5A4F" w:rsidR="0053305B" w:rsidRDefault="008D571A" w:rsidP="008D571A">
      <w:pPr>
        <w:jc w:val="both"/>
      </w:pPr>
      <w:r>
        <w:t>Overall, this study has shown that</w:t>
      </w:r>
      <w:r w:rsidR="0053305B">
        <w:t>:</w:t>
      </w:r>
    </w:p>
    <w:p w14:paraId="59E2C527" w14:textId="77777777" w:rsidR="0053305B" w:rsidRDefault="0053305B" w:rsidP="008D571A">
      <w:pPr>
        <w:jc w:val="both"/>
      </w:pPr>
    </w:p>
    <w:p w14:paraId="5237D90B" w14:textId="331E2F68" w:rsidR="008D571A" w:rsidRDefault="008D571A" w:rsidP="0053305B">
      <w:pPr>
        <w:pStyle w:val="ListParagraph"/>
        <w:numPr>
          <w:ilvl w:val="0"/>
          <w:numId w:val="8"/>
        </w:numPr>
        <w:jc w:val="both"/>
      </w:pPr>
      <w:r>
        <w:t>a certain ‘core</w:t>
      </w:r>
      <w:r w:rsidR="0053305B">
        <w:t xml:space="preserve"> set</w:t>
      </w:r>
      <w:r>
        <w:t>’</w:t>
      </w:r>
      <w:r w:rsidR="003A3B12">
        <w:t xml:space="preserve"> </w:t>
      </w:r>
      <w:r w:rsidR="0053305B">
        <w:t>o</w:t>
      </w:r>
      <w:r w:rsidR="003A3B12">
        <w:t xml:space="preserve">f </w:t>
      </w:r>
      <w:r>
        <w:t xml:space="preserve">shared genetic architecture for enhanced metabolism of </w:t>
      </w:r>
      <w:proofErr w:type="gramStart"/>
      <w:r>
        <w:t>fenoxaprop, and</w:t>
      </w:r>
      <w:proofErr w:type="gramEnd"/>
      <w:r>
        <w:t xml:space="preserve"> confirms the importance of AmGSTF1 and two other reported candidate genes.</w:t>
      </w:r>
    </w:p>
    <w:p w14:paraId="438E4B3F" w14:textId="48316603" w:rsidR="008D571A" w:rsidRDefault="008D571A" w:rsidP="008D571A">
      <w:pPr>
        <w:pStyle w:val="ListParagraph"/>
        <w:numPr>
          <w:ilvl w:val="0"/>
          <w:numId w:val="8"/>
        </w:numPr>
        <w:jc w:val="both"/>
      </w:pPr>
      <w:r>
        <w:t>each population also accumulates its own unique set of mutations and broader changes in gene expression, which probably stems from differences in the standing genetic variation between populations.</w:t>
      </w:r>
    </w:p>
    <w:p w14:paraId="087EF699" w14:textId="28FE23E1" w:rsidR="0054520E" w:rsidRDefault="008D571A" w:rsidP="008D571A">
      <w:pPr>
        <w:pStyle w:val="ListParagraph"/>
        <w:numPr>
          <w:ilvl w:val="0"/>
          <w:numId w:val="8"/>
        </w:numPr>
        <w:jc w:val="both"/>
      </w:pPr>
      <w:r>
        <w:t>‘it’s complicated’ – but it has given us a good set of further targets to explore for how causative they are in the resistance phenotype.</w:t>
      </w:r>
    </w:p>
    <w:p w14:paraId="47353DCC" w14:textId="10B076E4" w:rsidR="00000340" w:rsidRDefault="00000340" w:rsidP="00401A0C">
      <w:pPr>
        <w:jc w:val="both"/>
      </w:pPr>
    </w:p>
    <w:p w14:paraId="370DE8A4" w14:textId="743B5C38" w:rsidR="003D00F7" w:rsidRDefault="003D00F7" w:rsidP="003D00F7">
      <w:pPr>
        <w:jc w:val="both"/>
      </w:pPr>
      <w:r>
        <w:t>BASF / Max Planck</w:t>
      </w:r>
    </w:p>
    <w:p w14:paraId="2BA2A72F" w14:textId="1B42AF6A" w:rsidR="003D00F7" w:rsidRDefault="003D00F7" w:rsidP="003D00F7">
      <w:pPr>
        <w:jc w:val="both"/>
      </w:pPr>
    </w:p>
    <w:p w14:paraId="19F4741E" w14:textId="40C08CCB" w:rsidR="003D00F7" w:rsidRDefault="003D00F7" w:rsidP="001D222A">
      <w:pPr>
        <w:pStyle w:val="ListParagraph"/>
        <w:numPr>
          <w:ilvl w:val="0"/>
          <w:numId w:val="13"/>
        </w:numPr>
        <w:jc w:val="both"/>
      </w:pPr>
      <w:r>
        <w:lastRenderedPageBreak/>
        <w:t>As mentioned above, they used a German herbicide sensitive population as their reference material for constructing the genome.</w:t>
      </w:r>
    </w:p>
    <w:p w14:paraId="521765A9" w14:textId="55D28FF4" w:rsidR="003D00F7" w:rsidRDefault="00C924F5" w:rsidP="001D222A">
      <w:pPr>
        <w:pStyle w:val="ListParagraph"/>
        <w:numPr>
          <w:ilvl w:val="0"/>
          <w:numId w:val="13"/>
        </w:numPr>
        <w:jc w:val="both"/>
      </w:pPr>
      <w:r>
        <w:t>U</w:t>
      </w:r>
      <w:r w:rsidR="003D00F7">
        <w:t>sed a collection of 47 European blackgrass populations</w:t>
      </w:r>
      <w:r w:rsidR="005C64FC">
        <w:t xml:space="preserve"> and screened a total of </w:t>
      </w:r>
      <w:proofErr w:type="gramStart"/>
      <w:r w:rsidR="00EA002E">
        <w:t>a 1000 plants</w:t>
      </w:r>
      <w:proofErr w:type="gramEnd"/>
      <w:r w:rsidR="003D00F7">
        <w:t xml:space="preserve"> to look at the origin and diversity of Target-site resistance to the </w:t>
      </w:r>
      <w:proofErr w:type="spellStart"/>
      <w:r w:rsidR="003D00F7">
        <w:t>ACCase</w:t>
      </w:r>
      <w:proofErr w:type="spellEnd"/>
      <w:r w:rsidR="003D00F7">
        <w:t xml:space="preserve"> and ALS chemistries.</w:t>
      </w:r>
    </w:p>
    <w:p w14:paraId="36A89FF2" w14:textId="77777777" w:rsidR="003D00F7" w:rsidRDefault="003D00F7" w:rsidP="003D00F7">
      <w:pPr>
        <w:jc w:val="both"/>
      </w:pPr>
    </w:p>
    <w:p w14:paraId="7E0CD4D6" w14:textId="152E42D4" w:rsidR="003D00F7" w:rsidRDefault="003D00F7" w:rsidP="001D222A">
      <w:pPr>
        <w:pStyle w:val="ListParagraph"/>
        <w:numPr>
          <w:ilvl w:val="0"/>
          <w:numId w:val="13"/>
        </w:numPr>
        <w:jc w:val="both"/>
      </w:pPr>
      <w:r>
        <w:t>Firstly, they looked at genome wide mutations, and used that as the basis for a population-genetics study</w:t>
      </w:r>
    </w:p>
    <w:p w14:paraId="544C85C2" w14:textId="09FF2FC2" w:rsidR="003D00F7" w:rsidRDefault="003D00F7" w:rsidP="001D222A">
      <w:pPr>
        <w:pStyle w:val="ListParagraph"/>
        <w:numPr>
          <w:ilvl w:val="0"/>
          <w:numId w:val="13"/>
        </w:numPr>
        <w:jc w:val="both"/>
      </w:pPr>
      <w:r>
        <w:t>They don’t present a huge amount from that, other than to say that there were a few broad groupings which were genetically more similar</w:t>
      </w:r>
      <w:r w:rsidR="00487D71">
        <w:t xml:space="preserve">.  </w:t>
      </w:r>
      <w:r>
        <w:t>So, Belgium (BE), the United Kingdom (UK), Luxemburg (LX) and France (FR) were genetically similar</w:t>
      </w:r>
      <w:r w:rsidR="00487D71">
        <w:t xml:space="preserve">.  </w:t>
      </w:r>
      <w:r>
        <w:t>The German populations had three different sub-groups with slightly different genetic basis.</w:t>
      </w:r>
      <w:r w:rsidR="00487D71">
        <w:t xml:space="preserve">  </w:t>
      </w:r>
      <w:r>
        <w:t>And the Netherlands was most different from all others</w:t>
      </w:r>
      <w:r w:rsidR="00487D71">
        <w:t xml:space="preserve">.  </w:t>
      </w:r>
      <w:r>
        <w:t>We don’t really know the exact reasons, but it’s probably related to the way Blackgrass semi-recently spread across Europe.</w:t>
      </w:r>
    </w:p>
    <w:p w14:paraId="16B449E8" w14:textId="77777777" w:rsidR="003D00F7" w:rsidRDefault="003D00F7" w:rsidP="003D00F7">
      <w:pPr>
        <w:jc w:val="both"/>
      </w:pPr>
    </w:p>
    <w:p w14:paraId="1D840860" w14:textId="3EBCF8DF" w:rsidR="003D00F7" w:rsidRDefault="003D00F7" w:rsidP="00BB7812">
      <w:pPr>
        <w:pStyle w:val="ListParagraph"/>
        <w:numPr>
          <w:ilvl w:val="0"/>
          <w:numId w:val="13"/>
        </w:numPr>
        <w:jc w:val="both"/>
      </w:pPr>
      <w:r>
        <w:t xml:space="preserve">They took a quick look at non-target-site resistance, screening 61 resistant and 61 sensitive individuals – again this is </w:t>
      </w:r>
      <w:proofErr w:type="spellStart"/>
      <w:r>
        <w:t>ACCase</w:t>
      </w:r>
      <w:proofErr w:type="spellEnd"/>
      <w:r>
        <w:t xml:space="preserve"> resistance, screened using </w:t>
      </w:r>
      <w:proofErr w:type="spellStart"/>
      <w:r>
        <w:t>pinoxaden</w:t>
      </w:r>
      <w:proofErr w:type="spellEnd"/>
      <w:r>
        <w:t>.</w:t>
      </w:r>
    </w:p>
    <w:p w14:paraId="17715840" w14:textId="67726AD9" w:rsidR="003D00F7" w:rsidRDefault="003D00F7" w:rsidP="003D00F7">
      <w:pPr>
        <w:pStyle w:val="ListParagraph"/>
        <w:numPr>
          <w:ilvl w:val="0"/>
          <w:numId w:val="13"/>
        </w:numPr>
        <w:jc w:val="both"/>
      </w:pPr>
      <w:r>
        <w:t>As in the previous study, they found several significant SNP mutation markers associated with resistance</w:t>
      </w:r>
      <w:r w:rsidR="00BB7812">
        <w:t xml:space="preserve"> and those </w:t>
      </w:r>
      <w:r>
        <w:t>genes associated with these regions contained things like glucosyltransferases and so on. But really that’s where this paper stops and moves onto target-site resistance</w:t>
      </w:r>
    </w:p>
    <w:p w14:paraId="72534AD1" w14:textId="77777777" w:rsidR="003D00F7" w:rsidRDefault="003D00F7" w:rsidP="003D00F7">
      <w:pPr>
        <w:jc w:val="both"/>
      </w:pPr>
    </w:p>
    <w:p w14:paraId="01B9D5D0" w14:textId="1FCC8681" w:rsidR="003D00F7" w:rsidRDefault="003D00F7" w:rsidP="003D00F7">
      <w:pPr>
        <w:pStyle w:val="ListParagraph"/>
        <w:numPr>
          <w:ilvl w:val="0"/>
          <w:numId w:val="13"/>
        </w:numPr>
        <w:jc w:val="both"/>
      </w:pPr>
      <w:r>
        <w:t xml:space="preserve">For TSR - rather than sequencing just TSR mutations, they sequenced the entire ALS and </w:t>
      </w:r>
      <w:proofErr w:type="spellStart"/>
      <w:r>
        <w:t>ACCase</w:t>
      </w:r>
      <w:proofErr w:type="spellEnd"/>
      <w:r>
        <w:t xml:space="preserve"> genes</w:t>
      </w:r>
      <w:r w:rsidR="008E3E6F">
        <w:t xml:space="preserve"> and most</w:t>
      </w:r>
      <w:r>
        <w:t xml:space="preserve"> importantly, they also sequenced the bits of DNA flanking those genes on either side, creating a set of sequences known as haplotypes.</w:t>
      </w:r>
    </w:p>
    <w:p w14:paraId="7638C62F" w14:textId="0450B36C" w:rsidR="003D00F7" w:rsidRDefault="0056467D" w:rsidP="003D00F7">
      <w:pPr>
        <w:pStyle w:val="ListParagraph"/>
        <w:numPr>
          <w:ilvl w:val="0"/>
          <w:numId w:val="13"/>
        </w:numPr>
        <w:jc w:val="both"/>
      </w:pPr>
      <w:r>
        <w:t>T</w:t>
      </w:r>
      <w:r w:rsidR="003D00F7">
        <w:t xml:space="preserve">he Target-site mutations they found all the usual suspects, which varied a little from country to country, but matches </w:t>
      </w:r>
      <w:proofErr w:type="gramStart"/>
      <w:r w:rsidR="003D00F7">
        <w:t>pretty well</w:t>
      </w:r>
      <w:proofErr w:type="gramEnd"/>
      <w:r w:rsidR="003D00F7">
        <w:t xml:space="preserve"> with what we already know. </w:t>
      </w:r>
    </w:p>
    <w:p w14:paraId="26FFDE53" w14:textId="77777777" w:rsidR="00220F9B" w:rsidRDefault="00220F9B" w:rsidP="00220F9B">
      <w:pPr>
        <w:pStyle w:val="ListParagraph"/>
        <w:jc w:val="both"/>
      </w:pPr>
    </w:p>
    <w:p w14:paraId="7B17E052" w14:textId="470E101D" w:rsidR="003D00F7" w:rsidRDefault="003D00F7" w:rsidP="005F0B08">
      <w:pPr>
        <w:pStyle w:val="ListParagraph"/>
        <w:numPr>
          <w:ilvl w:val="0"/>
          <w:numId w:val="13"/>
        </w:numPr>
        <w:jc w:val="both"/>
      </w:pPr>
      <w:r>
        <w:t xml:space="preserve">For both genes they found three broad clusters of haplotypes. </w:t>
      </w:r>
    </w:p>
    <w:p w14:paraId="5E05B5AE" w14:textId="5D1FF7A9" w:rsidR="003D00F7" w:rsidRDefault="003D00F7" w:rsidP="005F0B08">
      <w:pPr>
        <w:pStyle w:val="ListParagraph"/>
        <w:numPr>
          <w:ilvl w:val="0"/>
          <w:numId w:val="13"/>
        </w:numPr>
        <w:jc w:val="both"/>
      </w:pPr>
      <w:r>
        <w:t xml:space="preserve">For the </w:t>
      </w:r>
      <w:proofErr w:type="spellStart"/>
      <w:proofErr w:type="gramStart"/>
      <w:r>
        <w:t>ACCase</w:t>
      </w:r>
      <w:proofErr w:type="spellEnd"/>
      <w:r>
        <w:t xml:space="preserve"> in particular, those</w:t>
      </w:r>
      <w:proofErr w:type="gramEnd"/>
      <w:r>
        <w:t xml:space="preserve"> three groups actually included representatives from all countries tested, which suggests those different haplotype clusters arose before the widespread geographic spread of blackgrass across Europe.</w:t>
      </w:r>
    </w:p>
    <w:p w14:paraId="1C17B2D9" w14:textId="402A8587" w:rsidR="003D00F7" w:rsidRDefault="003D00F7" w:rsidP="005F0B08">
      <w:pPr>
        <w:pStyle w:val="ListParagraph"/>
        <w:numPr>
          <w:ilvl w:val="0"/>
          <w:numId w:val="13"/>
        </w:numPr>
        <w:jc w:val="both"/>
      </w:pPr>
      <w:r>
        <w:t xml:space="preserve">Within any single population, they also found a whole range of different haplotypes, and importantly they found that the same </w:t>
      </w:r>
      <w:r w:rsidR="005F0B08">
        <w:t>t</w:t>
      </w:r>
      <w:r>
        <w:t xml:space="preserve">arget-site mutations </w:t>
      </w:r>
      <w:proofErr w:type="gramStart"/>
      <w:r>
        <w:t>was</w:t>
      </w:r>
      <w:proofErr w:type="gramEnd"/>
      <w:r>
        <w:t xml:space="preserve"> often present in multiple different genetic haplotypes within the same field</w:t>
      </w:r>
    </w:p>
    <w:p w14:paraId="5434F21E" w14:textId="1D2FF3A7" w:rsidR="003D00F7" w:rsidRDefault="00BE0CF8" w:rsidP="00BE0CF8">
      <w:pPr>
        <w:pStyle w:val="ListParagraph"/>
        <w:numPr>
          <w:ilvl w:val="0"/>
          <w:numId w:val="13"/>
        </w:numPr>
        <w:jc w:val="both"/>
      </w:pPr>
      <w:r>
        <w:t>This</w:t>
      </w:r>
      <w:r w:rsidR="003D00F7">
        <w:t xml:space="preserve"> suggests is that the mutation didn’t just arise once and then spread – </w:t>
      </w:r>
      <w:r>
        <w:t>i</w:t>
      </w:r>
      <w:r w:rsidR="003D00F7">
        <w:t xml:space="preserve">nstead it’s more likely that the same mutations have arisen lots of times in different genetic lines of blackgrass. – so multiple independent evolutionary origins. </w:t>
      </w:r>
    </w:p>
    <w:p w14:paraId="4668D6D5" w14:textId="6DB62DE1" w:rsidR="003D00F7" w:rsidRDefault="003D00F7" w:rsidP="003D00F7">
      <w:pPr>
        <w:pStyle w:val="ListParagraph"/>
        <w:numPr>
          <w:ilvl w:val="0"/>
          <w:numId w:val="13"/>
        </w:numPr>
        <w:jc w:val="both"/>
      </w:pPr>
      <w:r>
        <w:t xml:space="preserve">That leads to the next question then of how long ago did these TSR haplotypes arise – </w:t>
      </w:r>
      <w:proofErr w:type="gramStart"/>
      <w:r>
        <w:t>i.e.</w:t>
      </w:r>
      <w:proofErr w:type="gramEnd"/>
      <w:r>
        <w:t xml:space="preserve"> are they the result of de-novo mutations after herbicide selection, or did they arise a long time ago and have been maintained in the standing genetic variation?</w:t>
      </w:r>
    </w:p>
    <w:p w14:paraId="3F0679ED" w14:textId="1F226CBF" w:rsidR="003D00F7" w:rsidRDefault="003D00F7" w:rsidP="008C5B1C">
      <w:pPr>
        <w:pStyle w:val="ListParagraph"/>
        <w:numPr>
          <w:ilvl w:val="0"/>
          <w:numId w:val="13"/>
        </w:numPr>
        <w:jc w:val="both"/>
      </w:pPr>
      <w:r>
        <w:t xml:space="preserve">To answer that </w:t>
      </w:r>
      <w:proofErr w:type="gramStart"/>
      <w:r>
        <w:t>question</w:t>
      </w:r>
      <w:proofErr w:type="gramEnd"/>
      <w:r>
        <w:t xml:space="preserve"> they ran a whole load of complicated computer simulations, artificially simulating TSR mutations over very long timeframes. </w:t>
      </w:r>
    </w:p>
    <w:p w14:paraId="5602B2A0" w14:textId="1092DAFA" w:rsidR="003D00F7" w:rsidRDefault="003D00F7" w:rsidP="008C5B1C">
      <w:pPr>
        <w:pStyle w:val="ListParagraph"/>
        <w:numPr>
          <w:ilvl w:val="0"/>
          <w:numId w:val="13"/>
        </w:numPr>
        <w:jc w:val="both"/>
      </w:pPr>
      <w:r>
        <w:t>Overall, the models with widespread TSR as part of the standing genetic variation matched the true results much more closely than models of re</w:t>
      </w:r>
      <w:r w:rsidR="008C5B1C">
        <w:t>c</w:t>
      </w:r>
      <w:r>
        <w:t>ent de-novo mutation.</w:t>
      </w:r>
    </w:p>
    <w:p w14:paraId="6CE76D4D" w14:textId="77777777" w:rsidR="008C5B1C" w:rsidRDefault="008C5B1C" w:rsidP="008C5B1C">
      <w:pPr>
        <w:pStyle w:val="ListParagraph"/>
        <w:jc w:val="both"/>
      </w:pPr>
    </w:p>
    <w:p w14:paraId="408B8588" w14:textId="055923EE" w:rsidR="003D00F7" w:rsidRDefault="008C5B1C" w:rsidP="003D00F7">
      <w:pPr>
        <w:jc w:val="both"/>
      </w:pPr>
      <w:r w:rsidRPr="008C5B1C">
        <w:t>Overall, this study has shown that:</w:t>
      </w:r>
    </w:p>
    <w:p w14:paraId="47C405CD" w14:textId="461F66FC" w:rsidR="008C5B1C" w:rsidRDefault="008C5B1C" w:rsidP="003D00F7">
      <w:pPr>
        <w:jc w:val="both"/>
      </w:pPr>
    </w:p>
    <w:p w14:paraId="3DBE9F66" w14:textId="77777777" w:rsidR="008C5B1C" w:rsidRDefault="008C5B1C" w:rsidP="003D00F7">
      <w:pPr>
        <w:jc w:val="both"/>
      </w:pPr>
    </w:p>
    <w:p w14:paraId="438E9157" w14:textId="12AD66C2" w:rsidR="003D00F7" w:rsidRDefault="003D00F7" w:rsidP="008C5B1C">
      <w:pPr>
        <w:pStyle w:val="ListParagraph"/>
        <w:numPr>
          <w:ilvl w:val="0"/>
          <w:numId w:val="15"/>
        </w:numPr>
        <w:jc w:val="both"/>
      </w:pPr>
      <w:r>
        <w:t xml:space="preserve">TSR mutations were </w:t>
      </w:r>
      <w:proofErr w:type="gramStart"/>
      <w:r>
        <w:t>actually much</w:t>
      </w:r>
      <w:proofErr w:type="gramEnd"/>
      <w:r>
        <w:t xml:space="preserve"> more widespread before the introduction of herbicides that perhaps we would have naively thought.</w:t>
      </w:r>
    </w:p>
    <w:p w14:paraId="4F6A95C4" w14:textId="7FA5BB8B" w:rsidR="003D00F7" w:rsidRDefault="008C13F3" w:rsidP="008C13F3">
      <w:pPr>
        <w:pStyle w:val="ListParagraph"/>
        <w:numPr>
          <w:ilvl w:val="0"/>
          <w:numId w:val="15"/>
        </w:numPr>
        <w:jc w:val="both"/>
      </w:pPr>
      <w:proofErr w:type="gramStart"/>
      <w:r>
        <w:t>F</w:t>
      </w:r>
      <w:r w:rsidR="003D00F7">
        <w:t>irstly</w:t>
      </w:r>
      <w:proofErr w:type="gramEnd"/>
      <w:r w:rsidR="003D00F7">
        <w:t xml:space="preserve"> it suggests that fitness costs of the TSR mutations are very low, if they’re there at all – because otherwise those mutations would have been purged much more readily.</w:t>
      </w:r>
    </w:p>
    <w:p w14:paraId="47004DE7" w14:textId="2C8B1158" w:rsidR="003D00F7" w:rsidRDefault="008C13F3" w:rsidP="008C13F3">
      <w:pPr>
        <w:pStyle w:val="ListParagraph"/>
        <w:numPr>
          <w:ilvl w:val="0"/>
          <w:numId w:val="15"/>
        </w:numPr>
        <w:jc w:val="both"/>
      </w:pPr>
      <w:r>
        <w:t>S</w:t>
      </w:r>
      <w:r w:rsidR="003D00F7">
        <w:t>econdly it highlights (as with the NTSR study), that standing genetic variation for target-site resistance was probably already present in most populations.</w:t>
      </w:r>
    </w:p>
    <w:p w14:paraId="71B97E9E" w14:textId="40E09C4C" w:rsidR="003D00F7" w:rsidRDefault="003D00F7" w:rsidP="00E824D3">
      <w:pPr>
        <w:pStyle w:val="ListParagraph"/>
        <w:numPr>
          <w:ilvl w:val="0"/>
          <w:numId w:val="15"/>
        </w:numPr>
        <w:jc w:val="both"/>
      </w:pPr>
      <w:r>
        <w:t>Herbicide selection has acted on a field-by-field basis on the standing genetic variation and resulted in parallel evolution of resistance – with different pathways or haplotypes selected depending on the pre-existing mutations or genetic architecture present within the population.</w:t>
      </w:r>
    </w:p>
    <w:p w14:paraId="067179A9" w14:textId="77777777" w:rsidR="00E824D3" w:rsidRDefault="00E824D3" w:rsidP="00401A0C">
      <w:pPr>
        <w:jc w:val="both"/>
      </w:pPr>
    </w:p>
    <w:p w14:paraId="513DADB6" w14:textId="304FF4DC" w:rsidR="00C3575A" w:rsidRDefault="00A46BF4" w:rsidP="00401A0C">
      <w:pPr>
        <w:jc w:val="both"/>
      </w:pPr>
      <w:r>
        <w:t>AOB</w:t>
      </w:r>
    </w:p>
    <w:p w14:paraId="1B8D7963" w14:textId="1D769033" w:rsidR="00401A0C" w:rsidRDefault="00401A0C" w:rsidP="005A3EDB">
      <w:pPr>
        <w:jc w:val="both"/>
      </w:pPr>
    </w:p>
    <w:p w14:paraId="402F1C44" w14:textId="1D950FAA" w:rsidR="007B2213" w:rsidRDefault="00A46BF4" w:rsidP="005A3EDB">
      <w:pPr>
        <w:jc w:val="both"/>
      </w:pPr>
      <w:r>
        <w:t xml:space="preserve">NIAB have been working with </w:t>
      </w:r>
      <w:r w:rsidR="007B2213">
        <w:t>Bayer</w:t>
      </w:r>
      <w:r w:rsidR="00326D59">
        <w:t xml:space="preserve"> </w:t>
      </w:r>
      <w:r w:rsidR="007B2213">
        <w:t>screening a large collection of UK Italian ryegrass populations to glyphosate and will report the findings at the next WRAG meeting.</w:t>
      </w:r>
    </w:p>
    <w:p w14:paraId="39C41720" w14:textId="77777777" w:rsidR="00000340" w:rsidRDefault="00000340" w:rsidP="005A3EDB">
      <w:pPr>
        <w:jc w:val="both"/>
      </w:pPr>
    </w:p>
    <w:p w14:paraId="574A2EA9" w14:textId="77777777" w:rsidR="00000340" w:rsidRDefault="00000340" w:rsidP="005A3EDB">
      <w:pPr>
        <w:jc w:val="both"/>
      </w:pPr>
    </w:p>
    <w:p w14:paraId="35A28704" w14:textId="24B422F3" w:rsidR="007B2213" w:rsidRDefault="00F65921" w:rsidP="005A3EDB">
      <w:pPr>
        <w:jc w:val="both"/>
      </w:pPr>
      <w:r w:rsidRPr="00F65921">
        <w:t>Next WRAG meeting on Thursday 2</w:t>
      </w:r>
      <w:r>
        <w:t>7</w:t>
      </w:r>
      <w:r w:rsidRPr="00F65921">
        <w:rPr>
          <w:vertAlign w:val="superscript"/>
        </w:rPr>
        <w:t>th</w:t>
      </w:r>
      <w:r>
        <w:t xml:space="preserve"> October</w:t>
      </w:r>
      <w:r w:rsidRPr="00F65921">
        <w:t xml:space="preserve"> 2022, location / place to follow if not over Teams.</w:t>
      </w:r>
    </w:p>
    <w:p w14:paraId="50FAAAF0" w14:textId="77777777" w:rsidR="0068212F" w:rsidRDefault="0068212F" w:rsidP="005A3EDB">
      <w:pPr>
        <w:jc w:val="both"/>
      </w:pPr>
    </w:p>
    <w:p w14:paraId="30B1FD9F" w14:textId="77777777" w:rsidR="00BD7AC2" w:rsidRDefault="00BD7AC2" w:rsidP="005A3EDB">
      <w:pPr>
        <w:jc w:val="both"/>
      </w:pPr>
    </w:p>
    <w:p w14:paraId="054E40F1" w14:textId="192161CF" w:rsidR="006C4EAB" w:rsidRDefault="006C4EAB" w:rsidP="005A3EDB">
      <w:pPr>
        <w:jc w:val="both"/>
      </w:pPr>
      <w:r>
        <w:t xml:space="preserve"> </w:t>
      </w:r>
    </w:p>
    <w:p w14:paraId="2F4FC476" w14:textId="77777777" w:rsidR="00E21499" w:rsidRDefault="00E21499" w:rsidP="002E4329">
      <w:pPr>
        <w:jc w:val="both"/>
      </w:pPr>
    </w:p>
    <w:p w14:paraId="18755AEB" w14:textId="5AF11CA1" w:rsidR="003764A7" w:rsidRDefault="003764A7" w:rsidP="003764A7">
      <w:pPr>
        <w:jc w:val="both"/>
      </w:pPr>
    </w:p>
    <w:p w14:paraId="6EE42068" w14:textId="40BC2068" w:rsidR="003764A7" w:rsidRDefault="003764A7" w:rsidP="003764A7">
      <w:pPr>
        <w:jc w:val="both"/>
      </w:pPr>
    </w:p>
    <w:sectPr w:rsidR="00376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891"/>
    <w:multiLevelType w:val="multilevel"/>
    <w:tmpl w:val="F8346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203F58F8"/>
    <w:multiLevelType w:val="hybridMultilevel"/>
    <w:tmpl w:val="0C3A51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B7702"/>
    <w:multiLevelType w:val="hybridMultilevel"/>
    <w:tmpl w:val="07B0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E1685"/>
    <w:multiLevelType w:val="multilevel"/>
    <w:tmpl w:val="375C1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15678D7"/>
    <w:multiLevelType w:val="hybridMultilevel"/>
    <w:tmpl w:val="468839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D44481"/>
    <w:multiLevelType w:val="hybridMultilevel"/>
    <w:tmpl w:val="996C62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E55A4C"/>
    <w:multiLevelType w:val="hybridMultilevel"/>
    <w:tmpl w:val="44A2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082C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66863"/>
    <w:multiLevelType w:val="hybridMultilevel"/>
    <w:tmpl w:val="D0F6E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C9226F"/>
    <w:multiLevelType w:val="multilevel"/>
    <w:tmpl w:val="375C1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54F5DD3"/>
    <w:multiLevelType w:val="hybridMultilevel"/>
    <w:tmpl w:val="47EE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F6130"/>
    <w:multiLevelType w:val="hybridMultilevel"/>
    <w:tmpl w:val="557CF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EC082D"/>
    <w:multiLevelType w:val="hybridMultilevel"/>
    <w:tmpl w:val="D818D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11505"/>
    <w:multiLevelType w:val="hybridMultilevel"/>
    <w:tmpl w:val="E4BA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26DDF"/>
    <w:multiLevelType w:val="hybridMultilevel"/>
    <w:tmpl w:val="961EA0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409D8"/>
    <w:multiLevelType w:val="hybridMultilevel"/>
    <w:tmpl w:val="D3645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14"/>
  </w:num>
  <w:num w:numId="7">
    <w:abstractNumId w:val="3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0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40"/>
    <w:rsid w:val="00000340"/>
    <w:rsid w:val="00005FF6"/>
    <w:rsid w:val="0002692C"/>
    <w:rsid w:val="000714C0"/>
    <w:rsid w:val="00071D86"/>
    <w:rsid w:val="0008520D"/>
    <w:rsid w:val="00092325"/>
    <w:rsid w:val="000D1603"/>
    <w:rsid w:val="000D7378"/>
    <w:rsid w:val="000E15EC"/>
    <w:rsid w:val="00115C21"/>
    <w:rsid w:val="0016449A"/>
    <w:rsid w:val="00185F17"/>
    <w:rsid w:val="00192BE8"/>
    <w:rsid w:val="00194C90"/>
    <w:rsid w:val="001961C6"/>
    <w:rsid w:val="001B777A"/>
    <w:rsid w:val="001C503E"/>
    <w:rsid w:val="001D2040"/>
    <w:rsid w:val="001D222A"/>
    <w:rsid w:val="001D3A22"/>
    <w:rsid w:val="001D6E4C"/>
    <w:rsid w:val="001D77BD"/>
    <w:rsid w:val="001E0E13"/>
    <w:rsid w:val="001F61F4"/>
    <w:rsid w:val="001F7E1B"/>
    <w:rsid w:val="00220F9B"/>
    <w:rsid w:val="00230A19"/>
    <w:rsid w:val="0024045A"/>
    <w:rsid w:val="0025380B"/>
    <w:rsid w:val="002717D1"/>
    <w:rsid w:val="0027456F"/>
    <w:rsid w:val="00283295"/>
    <w:rsid w:val="00287B92"/>
    <w:rsid w:val="00290CDE"/>
    <w:rsid w:val="00290F3F"/>
    <w:rsid w:val="002A69CF"/>
    <w:rsid w:val="002C0923"/>
    <w:rsid w:val="002C24B8"/>
    <w:rsid w:val="002D0F41"/>
    <w:rsid w:val="002E4329"/>
    <w:rsid w:val="0032457F"/>
    <w:rsid w:val="00326D59"/>
    <w:rsid w:val="003653F4"/>
    <w:rsid w:val="003764A7"/>
    <w:rsid w:val="003877BE"/>
    <w:rsid w:val="003913BA"/>
    <w:rsid w:val="003924D1"/>
    <w:rsid w:val="00394273"/>
    <w:rsid w:val="003A3B12"/>
    <w:rsid w:val="003C1DF3"/>
    <w:rsid w:val="003C5A89"/>
    <w:rsid w:val="003D00F7"/>
    <w:rsid w:val="003D0ECA"/>
    <w:rsid w:val="003E7637"/>
    <w:rsid w:val="00401A0C"/>
    <w:rsid w:val="0040338D"/>
    <w:rsid w:val="00420D05"/>
    <w:rsid w:val="004278CD"/>
    <w:rsid w:val="004313D2"/>
    <w:rsid w:val="00443E27"/>
    <w:rsid w:val="004579F4"/>
    <w:rsid w:val="00481BAD"/>
    <w:rsid w:val="00483384"/>
    <w:rsid w:val="00486045"/>
    <w:rsid w:val="004874F5"/>
    <w:rsid w:val="00487D71"/>
    <w:rsid w:val="00490281"/>
    <w:rsid w:val="00491B2E"/>
    <w:rsid w:val="00495E0A"/>
    <w:rsid w:val="004A4E5F"/>
    <w:rsid w:val="004C6171"/>
    <w:rsid w:val="004D53B1"/>
    <w:rsid w:val="004E5CB4"/>
    <w:rsid w:val="004F6015"/>
    <w:rsid w:val="00500E22"/>
    <w:rsid w:val="00504E4D"/>
    <w:rsid w:val="0051314E"/>
    <w:rsid w:val="00517C6A"/>
    <w:rsid w:val="0053305B"/>
    <w:rsid w:val="00541D27"/>
    <w:rsid w:val="0054520E"/>
    <w:rsid w:val="00563391"/>
    <w:rsid w:val="0056467D"/>
    <w:rsid w:val="00565A75"/>
    <w:rsid w:val="005865EA"/>
    <w:rsid w:val="005A3EDB"/>
    <w:rsid w:val="005A5CFF"/>
    <w:rsid w:val="005C5539"/>
    <w:rsid w:val="005C64FC"/>
    <w:rsid w:val="005E1338"/>
    <w:rsid w:val="005F0B08"/>
    <w:rsid w:val="00601FCA"/>
    <w:rsid w:val="006065B5"/>
    <w:rsid w:val="00610EE8"/>
    <w:rsid w:val="00622955"/>
    <w:rsid w:val="006543BA"/>
    <w:rsid w:val="00657725"/>
    <w:rsid w:val="0067367A"/>
    <w:rsid w:val="0067368A"/>
    <w:rsid w:val="00675031"/>
    <w:rsid w:val="00680DF2"/>
    <w:rsid w:val="0068212F"/>
    <w:rsid w:val="00686751"/>
    <w:rsid w:val="0069576B"/>
    <w:rsid w:val="006A027C"/>
    <w:rsid w:val="006A296E"/>
    <w:rsid w:val="006C4EAB"/>
    <w:rsid w:val="006D150E"/>
    <w:rsid w:val="006E169A"/>
    <w:rsid w:val="006E691C"/>
    <w:rsid w:val="006F3D93"/>
    <w:rsid w:val="00706982"/>
    <w:rsid w:val="0073030D"/>
    <w:rsid w:val="00732E06"/>
    <w:rsid w:val="007359C9"/>
    <w:rsid w:val="0074208A"/>
    <w:rsid w:val="007616A3"/>
    <w:rsid w:val="0076740E"/>
    <w:rsid w:val="00786EEC"/>
    <w:rsid w:val="007965FB"/>
    <w:rsid w:val="007B2213"/>
    <w:rsid w:val="007B2CBD"/>
    <w:rsid w:val="007C3BBD"/>
    <w:rsid w:val="007C3FC0"/>
    <w:rsid w:val="007D1507"/>
    <w:rsid w:val="007E0A76"/>
    <w:rsid w:val="007E74DE"/>
    <w:rsid w:val="0080234E"/>
    <w:rsid w:val="00807E4B"/>
    <w:rsid w:val="008441CF"/>
    <w:rsid w:val="00853019"/>
    <w:rsid w:val="00872DC4"/>
    <w:rsid w:val="00877087"/>
    <w:rsid w:val="008845E8"/>
    <w:rsid w:val="008A6E28"/>
    <w:rsid w:val="008C13F3"/>
    <w:rsid w:val="008C3A15"/>
    <w:rsid w:val="008C5B1C"/>
    <w:rsid w:val="008D571A"/>
    <w:rsid w:val="008E2DB3"/>
    <w:rsid w:val="008E3E6F"/>
    <w:rsid w:val="008E7B45"/>
    <w:rsid w:val="008F1367"/>
    <w:rsid w:val="00902E87"/>
    <w:rsid w:val="009320F2"/>
    <w:rsid w:val="00940A07"/>
    <w:rsid w:val="00947D47"/>
    <w:rsid w:val="00977271"/>
    <w:rsid w:val="009B3B92"/>
    <w:rsid w:val="009B6875"/>
    <w:rsid w:val="009C2C3C"/>
    <w:rsid w:val="009D7110"/>
    <w:rsid w:val="009E5FC5"/>
    <w:rsid w:val="009F7172"/>
    <w:rsid w:val="00A1407C"/>
    <w:rsid w:val="00A264A4"/>
    <w:rsid w:val="00A31E81"/>
    <w:rsid w:val="00A46BF4"/>
    <w:rsid w:val="00A505CB"/>
    <w:rsid w:val="00A519F5"/>
    <w:rsid w:val="00A55A1B"/>
    <w:rsid w:val="00A704A5"/>
    <w:rsid w:val="00A818AA"/>
    <w:rsid w:val="00AB755A"/>
    <w:rsid w:val="00AD3540"/>
    <w:rsid w:val="00AE3463"/>
    <w:rsid w:val="00B07CCB"/>
    <w:rsid w:val="00B2404A"/>
    <w:rsid w:val="00B435DE"/>
    <w:rsid w:val="00B45A05"/>
    <w:rsid w:val="00B460E0"/>
    <w:rsid w:val="00B63914"/>
    <w:rsid w:val="00B7197E"/>
    <w:rsid w:val="00B81F38"/>
    <w:rsid w:val="00B83DE1"/>
    <w:rsid w:val="00B86AF2"/>
    <w:rsid w:val="00BA63A1"/>
    <w:rsid w:val="00BB7812"/>
    <w:rsid w:val="00BC3D3E"/>
    <w:rsid w:val="00BC5E63"/>
    <w:rsid w:val="00BD221C"/>
    <w:rsid w:val="00BD7AC2"/>
    <w:rsid w:val="00BE0CF8"/>
    <w:rsid w:val="00C3575A"/>
    <w:rsid w:val="00C365BF"/>
    <w:rsid w:val="00C47000"/>
    <w:rsid w:val="00C73F4E"/>
    <w:rsid w:val="00C753CE"/>
    <w:rsid w:val="00C771EE"/>
    <w:rsid w:val="00C77CAC"/>
    <w:rsid w:val="00C852AD"/>
    <w:rsid w:val="00C924F5"/>
    <w:rsid w:val="00CA0C93"/>
    <w:rsid w:val="00CA4E98"/>
    <w:rsid w:val="00CA7C37"/>
    <w:rsid w:val="00CC4F01"/>
    <w:rsid w:val="00CD5AD1"/>
    <w:rsid w:val="00CE5764"/>
    <w:rsid w:val="00CF235D"/>
    <w:rsid w:val="00D22147"/>
    <w:rsid w:val="00D30A0F"/>
    <w:rsid w:val="00D339EA"/>
    <w:rsid w:val="00D3445A"/>
    <w:rsid w:val="00D539E2"/>
    <w:rsid w:val="00D55038"/>
    <w:rsid w:val="00D61481"/>
    <w:rsid w:val="00D62449"/>
    <w:rsid w:val="00D74983"/>
    <w:rsid w:val="00D841CF"/>
    <w:rsid w:val="00D95920"/>
    <w:rsid w:val="00D97F37"/>
    <w:rsid w:val="00DC0E88"/>
    <w:rsid w:val="00DD60C7"/>
    <w:rsid w:val="00DE1A8D"/>
    <w:rsid w:val="00DF509F"/>
    <w:rsid w:val="00E07B77"/>
    <w:rsid w:val="00E21499"/>
    <w:rsid w:val="00E676FA"/>
    <w:rsid w:val="00E824D3"/>
    <w:rsid w:val="00EA002E"/>
    <w:rsid w:val="00EE4CF4"/>
    <w:rsid w:val="00EF0273"/>
    <w:rsid w:val="00F317FE"/>
    <w:rsid w:val="00F33674"/>
    <w:rsid w:val="00F3647A"/>
    <w:rsid w:val="00F65921"/>
    <w:rsid w:val="00F951CB"/>
    <w:rsid w:val="00F97BDD"/>
    <w:rsid w:val="00FA55CF"/>
    <w:rsid w:val="00FC351B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FB08"/>
  <w15:chartTrackingRefBased/>
  <w15:docId w15:val="{4FD125EB-39D0-44B2-BD9C-91B586DC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3540"/>
    <w:pPr>
      <w:keepNext/>
      <w:widowControl w:val="0"/>
      <w:jc w:val="center"/>
      <w:outlineLvl w:val="0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540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Title">
    <w:name w:val="Title"/>
    <w:basedOn w:val="Normal"/>
    <w:link w:val="TitleChar"/>
    <w:qFormat/>
    <w:rsid w:val="00AD354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D3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D35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1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4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aguk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9711A6E40BD40A5AC34C066EE0A55" ma:contentTypeVersion="13" ma:contentTypeDescription="Create a new document." ma:contentTypeScope="" ma:versionID="167cfd3e939ded0791cd28834bb0cc0a">
  <xsd:schema xmlns:xsd="http://www.w3.org/2001/XMLSchema" xmlns:xs="http://www.w3.org/2001/XMLSchema" xmlns:p="http://schemas.microsoft.com/office/2006/metadata/properties" xmlns:ns3="ee727ef0-ac5f-4bc0-afa4-62918d8f0a66" xmlns:ns4="18766f40-d493-4328-9659-8f0dacb52f63" targetNamespace="http://schemas.microsoft.com/office/2006/metadata/properties" ma:root="true" ma:fieldsID="d717a3003d2637d2b6888a46bfae7dfe" ns3:_="" ns4:_="">
    <xsd:import namespace="ee727ef0-ac5f-4bc0-afa4-62918d8f0a66"/>
    <xsd:import namespace="18766f40-d493-4328-9659-8f0dacb52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27ef0-ac5f-4bc0-afa4-62918d8f0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6f40-d493-4328-9659-8f0dacb52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3E74AA-DC76-4F66-9BEC-E20BFF206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62171-419C-4B2C-B9F6-CBFA9A5D9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27ef0-ac5f-4bc0-afa4-62918d8f0a66"/>
    <ds:schemaRef ds:uri="18766f40-d493-4328-9659-8f0dacb52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FD4AC-0D12-41B5-8751-6C959E552B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Hull</dc:creator>
  <cp:keywords/>
  <dc:description/>
  <cp:lastModifiedBy>Richard Hull</cp:lastModifiedBy>
  <cp:revision>10</cp:revision>
  <dcterms:created xsi:type="dcterms:W3CDTF">2022-03-31T11:28:00Z</dcterms:created>
  <dcterms:modified xsi:type="dcterms:W3CDTF">2022-04-12T07:59:00Z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0x01010029E9711A6E40BD40A5AC34C066EE0A55</vt:lpwstr>
  </property>
</Properties>
</file>