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666C" w14:textId="2A64E2C4" w:rsidR="00932A32" w:rsidRDefault="004D69A0" w:rsidP="00932A32">
      <w:pPr>
        <w:pStyle w:val="Heading1"/>
      </w:pPr>
      <w:r>
        <w:t>AHDB Arable Crop Report</w:t>
      </w:r>
    </w:p>
    <w:p w14:paraId="671E7120" w14:textId="2E627CEA" w:rsidR="004D69A0" w:rsidRDefault="004D69A0" w:rsidP="004D69A0">
      <w:pPr>
        <w:pStyle w:val="IntroText"/>
      </w:pPr>
      <w:r w:rsidRPr="004D69A0">
        <w:t xml:space="preserve">Friday </w:t>
      </w:r>
      <w:r w:rsidR="00D61F0E">
        <w:t>1</w:t>
      </w:r>
      <w:r w:rsidR="00320908">
        <w:t xml:space="preserve"> Ma</w:t>
      </w:r>
      <w:r w:rsidR="00D61F0E">
        <w:t>y</w:t>
      </w:r>
      <w:r w:rsidR="00320908">
        <w:t xml:space="preserve"> 2026</w:t>
      </w:r>
    </w:p>
    <w:p w14:paraId="0DDCFBE6" w14:textId="27CFB9FA" w:rsidR="00B31E1F" w:rsidRDefault="004D69A0" w:rsidP="004D69A0">
      <w:pPr>
        <w:pStyle w:val="Heading2"/>
      </w:pPr>
      <w:r>
        <w:t>Executive summary</w:t>
      </w:r>
    </w:p>
    <w:p w14:paraId="2ED6FBC2" w14:textId="7CD789DD" w:rsidR="00FD6450" w:rsidRPr="00280F7F" w:rsidRDefault="00494BF3" w:rsidP="00FD6450">
      <w:r w:rsidRPr="00280F7F">
        <w:t xml:space="preserve">Temperatures were generally mild in April, but there was marked regional variation in </w:t>
      </w:r>
      <w:r w:rsidR="00FD6450" w:rsidRPr="00280F7F">
        <w:t>rainfall</w:t>
      </w:r>
      <w:r w:rsidR="00E510C1" w:rsidRPr="00280F7F">
        <w:t xml:space="preserve">. </w:t>
      </w:r>
      <w:r w:rsidR="00A42891" w:rsidRPr="00280F7F">
        <w:t>R</w:t>
      </w:r>
      <w:r w:rsidR="00E510C1" w:rsidRPr="00280F7F">
        <w:t xml:space="preserve">ainfall levels in the coming weeks will be important to how both winter and spring crops develop. </w:t>
      </w:r>
    </w:p>
    <w:p w14:paraId="1618394E" w14:textId="41BE94A5" w:rsidR="009E1E78" w:rsidRDefault="009E1E78" w:rsidP="00FD6450">
      <w:r w:rsidRPr="00280F7F">
        <w:t>National crop condition scores show declines compared to late</w:t>
      </w:r>
      <w:r w:rsidR="00DA6551">
        <w:t xml:space="preserve"> </w:t>
      </w:r>
      <w:r w:rsidRPr="00280F7F">
        <w:t xml:space="preserve">March for winter wheat and winter barley, and to a lesser extent, winter oats. Winter oilseed rape crops are generally maintaining their condition. </w:t>
      </w:r>
    </w:p>
    <w:p w14:paraId="7C23AD3A" w14:textId="66BEDD59" w:rsidR="00280F7F" w:rsidRPr="00280F7F" w:rsidRDefault="00280F7F" w:rsidP="00FD6450">
      <w:r w:rsidRPr="00280F7F">
        <w:t>Dry conditions are of concern across much of England.</w:t>
      </w:r>
    </w:p>
    <w:p w14:paraId="70E217DA" w14:textId="7FE48898" w:rsidR="00494BF3" w:rsidRPr="00280F7F" w:rsidRDefault="00F51F13" w:rsidP="00FD6450">
      <w:r>
        <w:t>The</w:t>
      </w:r>
      <w:r w:rsidR="00494BF3" w:rsidRPr="00280F7F">
        <w:t xml:space="preserve"> lack of rainfall is the </w:t>
      </w:r>
      <w:r w:rsidR="00D24B50" w:rsidRPr="00280F7F">
        <w:t xml:space="preserve">main </w:t>
      </w:r>
      <w:r w:rsidR="00494BF3" w:rsidRPr="00280F7F">
        <w:t xml:space="preserve">concern in </w:t>
      </w:r>
      <w:r w:rsidR="00E510C1" w:rsidRPr="00280F7F">
        <w:t>E</w:t>
      </w:r>
      <w:r w:rsidR="00494BF3" w:rsidRPr="00280F7F">
        <w:t xml:space="preserve">astern England, with moisture stress </w:t>
      </w:r>
      <w:proofErr w:type="gramStart"/>
      <w:r w:rsidR="00494BF3" w:rsidRPr="00280F7F">
        <w:t>exacerbated</w:t>
      </w:r>
      <w:proofErr w:type="gramEnd"/>
      <w:r w:rsidR="00494BF3" w:rsidRPr="00280F7F">
        <w:t xml:space="preserve"> by an extended period of drying winds.</w:t>
      </w:r>
      <w:r w:rsidR="00FD6450" w:rsidRPr="00280F7F">
        <w:t xml:space="preserve"> </w:t>
      </w:r>
      <w:r w:rsidR="00494BF3" w:rsidRPr="00280F7F">
        <w:t>These dry conditions are limiting both crop growth and nitrogen uptake</w:t>
      </w:r>
      <w:r w:rsidR="00E03635" w:rsidRPr="00280F7F">
        <w:t>.</w:t>
      </w:r>
    </w:p>
    <w:p w14:paraId="2CBA0294" w14:textId="4B1929AD" w:rsidR="00494BF3" w:rsidRDefault="00494BF3" w:rsidP="00494BF3">
      <w:r>
        <w:t xml:space="preserve">Wales, Northern Ireland, and parts of the West Midlands received more rainfall during </w:t>
      </w:r>
      <w:r w:rsidR="009E1E78">
        <w:t xml:space="preserve">the </w:t>
      </w:r>
      <w:r>
        <w:t>spring so far; however, soils are now drying rapidly.</w:t>
      </w:r>
    </w:p>
    <w:p w14:paraId="7701BADC" w14:textId="51BFE395" w:rsidR="00494BF3" w:rsidRDefault="00494BF3" w:rsidP="00494BF3">
      <w:r>
        <w:t>Scotland has not yet experienced the same dry weather impacts as England, largely due to higher winter rainfall.</w:t>
      </w:r>
    </w:p>
    <w:p w14:paraId="186A749F" w14:textId="620DE527" w:rsidR="00494BF3" w:rsidRDefault="00494BF3" w:rsidP="00494BF3">
      <w:r w:rsidRPr="009E1E78">
        <w:t>Cooler nights and light frosts were widely reported, but with little direct crop damage. Moisture stress is having a greater overall impact than lower nighttime temperatures.</w:t>
      </w:r>
    </w:p>
    <w:p w14:paraId="4708C46A" w14:textId="2821E437" w:rsidR="00494BF3" w:rsidRDefault="00494BF3" w:rsidP="00494BF3">
      <w:r>
        <w:t xml:space="preserve">Disease pressure </w:t>
      </w:r>
      <w:r w:rsidR="00F51F13">
        <w:t>is</w:t>
      </w:r>
      <w:r>
        <w:t xml:space="preserve"> variable, influenced by weather conditions and crop variety. Septoria remains </w:t>
      </w:r>
      <w:r w:rsidR="00E510C1">
        <w:t xml:space="preserve">the </w:t>
      </w:r>
      <w:r w:rsidR="00D24B50">
        <w:t xml:space="preserve">main </w:t>
      </w:r>
      <w:r w:rsidR="00E510C1">
        <w:t xml:space="preserve">concern </w:t>
      </w:r>
      <w:r>
        <w:t>in wheat. Wheat Dwarf Virus (WDV) is also becoming widespread across the East Midlands and the Eastern region</w:t>
      </w:r>
      <w:r w:rsidR="00A42891">
        <w:t>.</w:t>
      </w:r>
    </w:p>
    <w:p w14:paraId="1040D011" w14:textId="20854962" w:rsidR="00FD6450" w:rsidRDefault="00E510C1" w:rsidP="00900C2D">
      <w:r>
        <w:t>Meanwhile, t</w:t>
      </w:r>
      <w:r w:rsidR="00494BF3">
        <w:t xml:space="preserve">he dry weather helped drilling progress and spring crops are nearly all </w:t>
      </w:r>
      <w:r w:rsidR="00D24B50">
        <w:t>in the ground</w:t>
      </w:r>
      <w:r w:rsidR="00494BF3">
        <w:t>. However, spring crop establishment is highly variable and patchy due to dry seedbeds</w:t>
      </w:r>
      <w:r w:rsidR="009B64FD">
        <w:t>,</w:t>
      </w:r>
      <w:r w:rsidR="00D24B50">
        <w:t xml:space="preserve"> with</w:t>
      </w:r>
      <w:r w:rsidR="00E03635">
        <w:t xml:space="preserve"> variability in development too</w:t>
      </w:r>
      <w:r w:rsidR="00494BF3">
        <w:t>.</w:t>
      </w:r>
    </w:p>
    <w:p w14:paraId="767C230F" w14:textId="5DB8A939" w:rsidR="004D69A0" w:rsidRDefault="004D69A0" w:rsidP="00900C2D">
      <w:r>
        <w:t>The information in this report was captured up to Monday 2</w:t>
      </w:r>
      <w:r w:rsidR="00D61F0E">
        <w:t>7</w:t>
      </w:r>
      <w:r>
        <w:t xml:space="preserve"> </w:t>
      </w:r>
      <w:r w:rsidR="00D61F0E">
        <w:t>April</w:t>
      </w:r>
      <w:r>
        <w:t xml:space="preserve"> 202</w:t>
      </w:r>
      <w:r w:rsidR="003C44E6">
        <w:t>6</w:t>
      </w:r>
      <w:r>
        <w:t xml:space="preserve"> for AHDB by RSK ADAS Ltd.</w:t>
      </w:r>
    </w:p>
    <w:p w14:paraId="7511C372" w14:textId="1A75B4CD" w:rsidR="004D69A0" w:rsidRDefault="004D69A0" w:rsidP="004D69A0">
      <w:pPr>
        <w:pStyle w:val="Heading2"/>
      </w:pPr>
      <w:r>
        <w:t>Crop condition and growth stages</w:t>
      </w:r>
    </w:p>
    <w:p w14:paraId="018E3161" w14:textId="4A409461" w:rsidR="004D69A0" w:rsidRDefault="004D69A0" w:rsidP="004D69A0">
      <w:r w:rsidRPr="004D69A0">
        <w:t xml:space="preserve">Crop Condition ratings have been undertaken using the USDA methodology. The </w:t>
      </w:r>
      <w:r w:rsidR="00E00DC0">
        <w:t>UK</w:t>
      </w:r>
      <w:r w:rsidRPr="004D69A0">
        <w:t xml:space="preserve"> scores are provided </w:t>
      </w:r>
      <w:r w:rsidR="009E1E78">
        <w:t>in this report</w:t>
      </w:r>
      <w:r w:rsidRPr="004D69A0">
        <w:t xml:space="preserve">, with regional </w:t>
      </w:r>
      <w:r w:rsidR="009E1E78">
        <w:t xml:space="preserve">and national </w:t>
      </w:r>
      <w:r w:rsidRPr="004D69A0">
        <w:t xml:space="preserve">ratings on the </w:t>
      </w:r>
      <w:hyperlink r:id="rId10" w:history="1">
        <w:r w:rsidRPr="00B95191">
          <w:rPr>
            <w:rStyle w:val="Hyperlink"/>
          </w:rPr>
          <w:t>AHDB website</w:t>
        </w:r>
      </w:hyperlink>
      <w:r w:rsidRPr="004D69A0">
        <w:t>.</w:t>
      </w:r>
    </w:p>
    <w:p w14:paraId="32E30BBE" w14:textId="350FD0BF" w:rsidR="004D69A0" w:rsidRDefault="004D69A0" w:rsidP="004D69A0">
      <w:pPr>
        <w:pStyle w:val="Heading3"/>
      </w:pPr>
      <w:r w:rsidRPr="004D69A0">
        <w:t>Crop condition definitions:</w:t>
      </w:r>
    </w:p>
    <w:p w14:paraId="7A11592B" w14:textId="7F5FE484" w:rsidR="004D69A0" w:rsidRDefault="004D69A0" w:rsidP="004D69A0">
      <w:r w:rsidRPr="004D69A0">
        <w:rPr>
          <w:b/>
          <w:bCs/>
        </w:rPr>
        <w:t>Very poor:</w:t>
      </w:r>
      <w:r>
        <w:t xml:space="preserve">  Extreme degree of loss to yield potential, complete or near crop failure. </w:t>
      </w:r>
    </w:p>
    <w:p w14:paraId="26B337EA" w14:textId="35282A13" w:rsidR="004D69A0" w:rsidRDefault="004D69A0" w:rsidP="004D69A0">
      <w:r w:rsidRPr="004D69A0">
        <w:rPr>
          <w:b/>
          <w:bCs/>
        </w:rPr>
        <w:t>Poor:</w:t>
      </w:r>
      <w:r>
        <w:t xml:space="preserve"> Heavy degree of loss to yield potential, which can be caused by excess soil moisture, drought, disease etc. </w:t>
      </w:r>
    </w:p>
    <w:p w14:paraId="6D87B4C9" w14:textId="60E2EB13" w:rsidR="004D69A0" w:rsidRDefault="004D69A0" w:rsidP="004D69A0">
      <w:r w:rsidRPr="004D69A0">
        <w:rPr>
          <w:b/>
          <w:bCs/>
        </w:rPr>
        <w:t>Fair:</w:t>
      </w:r>
      <w:r>
        <w:t xml:space="preserve"> Less than normal crop condition. Yield loss is a possibility, but the extent is unknown. </w:t>
      </w:r>
    </w:p>
    <w:p w14:paraId="35BA64AC" w14:textId="7C611F60" w:rsidR="004D69A0" w:rsidRDefault="004D69A0" w:rsidP="004D69A0">
      <w:r w:rsidRPr="004D69A0">
        <w:rPr>
          <w:b/>
          <w:bCs/>
        </w:rPr>
        <w:lastRenderedPageBreak/>
        <w:t>Good:</w:t>
      </w:r>
      <w:r>
        <w:t xml:space="preserve">  Yield prospects are normal. Moisture levels are adequate and disease, insect damage and weed pressure are minor. </w:t>
      </w:r>
    </w:p>
    <w:p w14:paraId="61E062C3" w14:textId="0C4CC497" w:rsidR="00B95191" w:rsidRDefault="004D69A0" w:rsidP="004D69A0">
      <w:r w:rsidRPr="004D69A0">
        <w:rPr>
          <w:b/>
          <w:bCs/>
        </w:rPr>
        <w:t>Excellent:</w:t>
      </w:r>
      <w:r>
        <w:t xml:space="preserve"> Yield prospects are above normal. Crops are experiencing little or no stress. Disease, insect damage and weed pressures are insignificant.</w:t>
      </w:r>
    </w:p>
    <w:p w14:paraId="7DC23C14" w14:textId="0976910D" w:rsidR="00EA5D4E" w:rsidRPr="007823EB" w:rsidRDefault="00EA5D4E" w:rsidP="004D69A0">
      <w:pPr>
        <w:rPr>
          <w:b/>
          <w:bCs/>
        </w:rPr>
      </w:pPr>
      <w:r w:rsidRPr="007823EB">
        <w:rPr>
          <w:b/>
          <w:bCs/>
        </w:rPr>
        <w:t xml:space="preserve">Table 1. </w:t>
      </w:r>
      <w:r w:rsidR="00B661D8" w:rsidRPr="007823EB">
        <w:rPr>
          <w:b/>
          <w:bCs/>
        </w:rPr>
        <w:t>UK c</w:t>
      </w:r>
      <w:r w:rsidRPr="007823EB">
        <w:rPr>
          <w:b/>
          <w:bCs/>
        </w:rPr>
        <w:t xml:space="preserve">rop </w:t>
      </w:r>
      <w:r w:rsidR="00B661D8" w:rsidRPr="007823EB">
        <w:rPr>
          <w:b/>
          <w:bCs/>
        </w:rPr>
        <w:t>condition</w:t>
      </w:r>
      <w:r w:rsidR="00B95191">
        <w:rPr>
          <w:b/>
          <w:bCs/>
        </w:rPr>
        <w:t>:</w:t>
      </w:r>
      <w:r w:rsidR="007823EB" w:rsidRPr="007823EB">
        <w:rPr>
          <w:b/>
          <w:bCs/>
        </w:rPr>
        <w:t xml:space="preserve"> </w:t>
      </w:r>
      <w:r w:rsidR="00D61F0E">
        <w:rPr>
          <w:b/>
          <w:bCs/>
        </w:rPr>
        <w:t>April</w:t>
      </w:r>
      <w:r w:rsidR="00447568">
        <w:rPr>
          <w:b/>
          <w:bCs/>
        </w:rPr>
        <w:t xml:space="preserve"> 2026</w:t>
      </w:r>
    </w:p>
    <w:tbl>
      <w:tblPr>
        <w:tblStyle w:val="TableGrid"/>
        <w:tblW w:w="0" w:type="auto"/>
        <w:tblLook w:val="04A0" w:firstRow="1" w:lastRow="0" w:firstColumn="1" w:lastColumn="0" w:noHBand="0" w:noVBand="1"/>
      </w:tblPr>
      <w:tblGrid>
        <w:gridCol w:w="1424"/>
        <w:gridCol w:w="1424"/>
        <w:gridCol w:w="1424"/>
        <w:gridCol w:w="1424"/>
        <w:gridCol w:w="1424"/>
        <w:gridCol w:w="1424"/>
        <w:gridCol w:w="1424"/>
      </w:tblGrid>
      <w:tr w:rsidR="008B4A38" w14:paraId="5B7634F0" w14:textId="77777777" w:rsidTr="0021263E">
        <w:tc>
          <w:tcPr>
            <w:tcW w:w="1424" w:type="dxa"/>
            <w:shd w:val="clear" w:color="auto" w:fill="FFFFFF" w:themeFill="background1"/>
            <w:vAlign w:val="center"/>
          </w:tcPr>
          <w:p w14:paraId="07BD8E25" w14:textId="70CD9A71" w:rsidR="008B4A38" w:rsidRPr="00D50AC7" w:rsidRDefault="008B4A38" w:rsidP="00D50AC7">
            <w:pPr>
              <w:pStyle w:val="Tableheading"/>
            </w:pPr>
            <w:r w:rsidRPr="008B4A38">
              <w:t> </w:t>
            </w:r>
            <w:r w:rsidRPr="00D50AC7">
              <w:t>Crop</w:t>
            </w:r>
          </w:p>
        </w:tc>
        <w:tc>
          <w:tcPr>
            <w:tcW w:w="1424" w:type="dxa"/>
            <w:shd w:val="clear" w:color="auto" w:fill="FFFFFF" w:themeFill="background1"/>
            <w:vAlign w:val="center"/>
          </w:tcPr>
          <w:p w14:paraId="0E02E375" w14:textId="1AAAD8A4" w:rsidR="008B4A38" w:rsidRDefault="008B4A38" w:rsidP="008B4A38">
            <w:pPr>
              <w:pStyle w:val="Tableheading"/>
            </w:pPr>
            <w:r w:rsidRPr="008B4A38">
              <w:t>Very poor</w:t>
            </w:r>
          </w:p>
        </w:tc>
        <w:tc>
          <w:tcPr>
            <w:tcW w:w="1424" w:type="dxa"/>
            <w:shd w:val="clear" w:color="auto" w:fill="FFFFFF" w:themeFill="background1"/>
            <w:vAlign w:val="center"/>
          </w:tcPr>
          <w:p w14:paraId="1FDCB3F5" w14:textId="2745BB29" w:rsidR="008B4A38" w:rsidRDefault="008B4A38" w:rsidP="008B4A38">
            <w:pPr>
              <w:pStyle w:val="Tableheading"/>
            </w:pPr>
            <w:r w:rsidRPr="008B4A38">
              <w:t>Poor</w:t>
            </w:r>
          </w:p>
        </w:tc>
        <w:tc>
          <w:tcPr>
            <w:tcW w:w="1424" w:type="dxa"/>
            <w:shd w:val="clear" w:color="auto" w:fill="FFFFFF" w:themeFill="background1"/>
            <w:vAlign w:val="center"/>
          </w:tcPr>
          <w:p w14:paraId="70F0772C" w14:textId="3929D47C" w:rsidR="008B4A38" w:rsidRDefault="008B4A38" w:rsidP="008B4A38">
            <w:pPr>
              <w:pStyle w:val="Tableheading"/>
            </w:pPr>
            <w:r w:rsidRPr="008B4A38">
              <w:t>Fair</w:t>
            </w:r>
          </w:p>
        </w:tc>
        <w:tc>
          <w:tcPr>
            <w:tcW w:w="1424" w:type="dxa"/>
            <w:shd w:val="clear" w:color="auto" w:fill="FFFFFF" w:themeFill="background1"/>
            <w:vAlign w:val="center"/>
          </w:tcPr>
          <w:p w14:paraId="5418C387" w14:textId="14C9628E" w:rsidR="008B4A38" w:rsidRDefault="008B4A38" w:rsidP="008B4A38">
            <w:pPr>
              <w:pStyle w:val="Tableheading"/>
            </w:pPr>
            <w:r w:rsidRPr="008B4A38">
              <w:t>Good</w:t>
            </w:r>
          </w:p>
        </w:tc>
        <w:tc>
          <w:tcPr>
            <w:tcW w:w="1424" w:type="dxa"/>
            <w:shd w:val="clear" w:color="auto" w:fill="FFFFFF" w:themeFill="background1"/>
            <w:vAlign w:val="center"/>
          </w:tcPr>
          <w:p w14:paraId="5511E54A" w14:textId="0CD69C55" w:rsidR="008B4A38" w:rsidRDefault="008B4A38" w:rsidP="008B4A38">
            <w:pPr>
              <w:pStyle w:val="Tableheading"/>
            </w:pPr>
            <w:r w:rsidRPr="008B4A38">
              <w:t>Excellent</w:t>
            </w:r>
          </w:p>
        </w:tc>
        <w:tc>
          <w:tcPr>
            <w:tcW w:w="1424" w:type="dxa"/>
            <w:shd w:val="clear" w:color="auto" w:fill="FFFFFF" w:themeFill="background1"/>
            <w:vAlign w:val="center"/>
          </w:tcPr>
          <w:p w14:paraId="2A961A28" w14:textId="20382BF1" w:rsidR="008B4A38" w:rsidRDefault="008B4A38" w:rsidP="008B4A38">
            <w:pPr>
              <w:pStyle w:val="Tableheading"/>
            </w:pPr>
            <w:r w:rsidRPr="008B4A38">
              <w:t>Crops not yet planted or emerged</w:t>
            </w:r>
          </w:p>
        </w:tc>
      </w:tr>
      <w:tr w:rsidR="00494BF3" w14:paraId="666DF7FD" w14:textId="77777777" w:rsidTr="007F0A71">
        <w:tc>
          <w:tcPr>
            <w:tcW w:w="1424" w:type="dxa"/>
            <w:vAlign w:val="center"/>
          </w:tcPr>
          <w:p w14:paraId="60D9D52B" w14:textId="2961B8B8" w:rsidR="00494BF3" w:rsidRDefault="00494BF3" w:rsidP="00494BF3">
            <w:pPr>
              <w:pStyle w:val="Table-Body-leftaligned"/>
            </w:pPr>
            <w:r w:rsidRPr="008B4A38">
              <w:t>Winter wheat</w:t>
            </w:r>
          </w:p>
        </w:tc>
        <w:tc>
          <w:tcPr>
            <w:tcW w:w="1424" w:type="dxa"/>
          </w:tcPr>
          <w:p w14:paraId="1FD3C7BC" w14:textId="4613A4C4" w:rsidR="00494BF3" w:rsidRDefault="00494BF3" w:rsidP="00494BF3">
            <w:pPr>
              <w:pStyle w:val="Table-Body-centred"/>
            </w:pPr>
            <w:r w:rsidRPr="00366F9D">
              <w:t>1%</w:t>
            </w:r>
          </w:p>
        </w:tc>
        <w:tc>
          <w:tcPr>
            <w:tcW w:w="1424" w:type="dxa"/>
          </w:tcPr>
          <w:p w14:paraId="1AA24D78" w14:textId="7AA4DBF3" w:rsidR="00494BF3" w:rsidRDefault="00494BF3" w:rsidP="00494BF3">
            <w:pPr>
              <w:pStyle w:val="Table-Body-centred"/>
            </w:pPr>
            <w:r w:rsidRPr="00366F9D">
              <w:t>2%</w:t>
            </w:r>
          </w:p>
        </w:tc>
        <w:tc>
          <w:tcPr>
            <w:tcW w:w="1424" w:type="dxa"/>
          </w:tcPr>
          <w:p w14:paraId="5F82A3B9" w14:textId="2196F6EF" w:rsidR="00494BF3" w:rsidRDefault="00494BF3" w:rsidP="00494BF3">
            <w:pPr>
              <w:pStyle w:val="Table-Body-centred"/>
            </w:pPr>
            <w:r w:rsidRPr="00366F9D">
              <w:t>22%</w:t>
            </w:r>
          </w:p>
        </w:tc>
        <w:tc>
          <w:tcPr>
            <w:tcW w:w="1424" w:type="dxa"/>
          </w:tcPr>
          <w:p w14:paraId="31CFD3B7" w14:textId="378BF9D4" w:rsidR="00494BF3" w:rsidRDefault="00494BF3" w:rsidP="00494BF3">
            <w:pPr>
              <w:pStyle w:val="Table-Body-centred"/>
            </w:pPr>
            <w:r w:rsidRPr="00366F9D">
              <w:t>59%</w:t>
            </w:r>
          </w:p>
        </w:tc>
        <w:tc>
          <w:tcPr>
            <w:tcW w:w="1424" w:type="dxa"/>
          </w:tcPr>
          <w:p w14:paraId="0CF9CF5A" w14:textId="0FFC0D0A" w:rsidR="00494BF3" w:rsidRDefault="00494BF3" w:rsidP="00494BF3">
            <w:pPr>
              <w:pStyle w:val="Table-Body-centred"/>
            </w:pPr>
            <w:r w:rsidRPr="00366F9D">
              <w:t>16%</w:t>
            </w:r>
          </w:p>
        </w:tc>
        <w:tc>
          <w:tcPr>
            <w:tcW w:w="1424" w:type="dxa"/>
          </w:tcPr>
          <w:p w14:paraId="66946830" w14:textId="538CF600" w:rsidR="00494BF3" w:rsidRDefault="00494BF3" w:rsidP="00494BF3">
            <w:pPr>
              <w:pStyle w:val="Table-Body-centred"/>
            </w:pPr>
            <w:r w:rsidRPr="00366F9D">
              <w:t>0%</w:t>
            </w:r>
          </w:p>
        </w:tc>
      </w:tr>
      <w:tr w:rsidR="00494BF3" w14:paraId="426D63F4" w14:textId="77777777" w:rsidTr="007F0A71">
        <w:tc>
          <w:tcPr>
            <w:tcW w:w="1424" w:type="dxa"/>
            <w:vAlign w:val="center"/>
          </w:tcPr>
          <w:p w14:paraId="23CF9D19" w14:textId="2C363CD6" w:rsidR="00494BF3" w:rsidRDefault="00494BF3" w:rsidP="00494BF3">
            <w:pPr>
              <w:pStyle w:val="Table-Body-leftaligned"/>
            </w:pPr>
            <w:r w:rsidRPr="008B4A38">
              <w:t>Winter barley</w:t>
            </w:r>
          </w:p>
        </w:tc>
        <w:tc>
          <w:tcPr>
            <w:tcW w:w="1424" w:type="dxa"/>
          </w:tcPr>
          <w:p w14:paraId="6ECA890B" w14:textId="61C62EC5" w:rsidR="00494BF3" w:rsidRDefault="00494BF3" w:rsidP="00494BF3">
            <w:pPr>
              <w:pStyle w:val="Table-Body-centred"/>
            </w:pPr>
            <w:r w:rsidRPr="00366F9D">
              <w:t>0%</w:t>
            </w:r>
          </w:p>
        </w:tc>
        <w:tc>
          <w:tcPr>
            <w:tcW w:w="1424" w:type="dxa"/>
          </w:tcPr>
          <w:p w14:paraId="6AF85757" w14:textId="0AFD346E" w:rsidR="00494BF3" w:rsidRDefault="00494BF3" w:rsidP="00494BF3">
            <w:pPr>
              <w:pStyle w:val="Table-Body-centred"/>
            </w:pPr>
            <w:r w:rsidRPr="00366F9D">
              <w:t>3%</w:t>
            </w:r>
          </w:p>
        </w:tc>
        <w:tc>
          <w:tcPr>
            <w:tcW w:w="1424" w:type="dxa"/>
          </w:tcPr>
          <w:p w14:paraId="543B979F" w14:textId="2ED112EA" w:rsidR="00494BF3" w:rsidRDefault="00494BF3" w:rsidP="00494BF3">
            <w:pPr>
              <w:pStyle w:val="Table-Body-centred"/>
            </w:pPr>
            <w:r w:rsidRPr="00366F9D">
              <w:t>27%</w:t>
            </w:r>
          </w:p>
        </w:tc>
        <w:tc>
          <w:tcPr>
            <w:tcW w:w="1424" w:type="dxa"/>
          </w:tcPr>
          <w:p w14:paraId="0D3481B6" w14:textId="25CF6244" w:rsidR="00494BF3" w:rsidRDefault="00494BF3" w:rsidP="00494BF3">
            <w:pPr>
              <w:pStyle w:val="Table-Body-centred"/>
            </w:pPr>
            <w:r w:rsidRPr="00366F9D">
              <w:t>52%</w:t>
            </w:r>
          </w:p>
        </w:tc>
        <w:tc>
          <w:tcPr>
            <w:tcW w:w="1424" w:type="dxa"/>
          </w:tcPr>
          <w:p w14:paraId="3260D984" w14:textId="1FF99A94" w:rsidR="00494BF3" w:rsidRDefault="00494BF3" w:rsidP="00494BF3">
            <w:pPr>
              <w:pStyle w:val="Table-Body-centred"/>
            </w:pPr>
            <w:r w:rsidRPr="00366F9D">
              <w:t>18%</w:t>
            </w:r>
          </w:p>
        </w:tc>
        <w:tc>
          <w:tcPr>
            <w:tcW w:w="1424" w:type="dxa"/>
          </w:tcPr>
          <w:p w14:paraId="488571D9" w14:textId="45ABEB5E" w:rsidR="00494BF3" w:rsidRDefault="00494BF3" w:rsidP="00494BF3">
            <w:pPr>
              <w:pStyle w:val="Table-Body-centred"/>
            </w:pPr>
            <w:r w:rsidRPr="00366F9D">
              <w:t>0%</w:t>
            </w:r>
          </w:p>
        </w:tc>
      </w:tr>
      <w:tr w:rsidR="00494BF3" w14:paraId="0DECAC3C" w14:textId="77777777" w:rsidTr="007F0A71">
        <w:tc>
          <w:tcPr>
            <w:tcW w:w="1424" w:type="dxa"/>
            <w:vAlign w:val="center"/>
          </w:tcPr>
          <w:p w14:paraId="79A06479" w14:textId="275AD6D8" w:rsidR="00494BF3" w:rsidRDefault="00494BF3" w:rsidP="00494BF3">
            <w:pPr>
              <w:pStyle w:val="Table-Body-leftaligned"/>
            </w:pPr>
            <w:r w:rsidRPr="008B4A38">
              <w:t>Winter oats</w:t>
            </w:r>
          </w:p>
        </w:tc>
        <w:tc>
          <w:tcPr>
            <w:tcW w:w="1424" w:type="dxa"/>
          </w:tcPr>
          <w:p w14:paraId="193B782F" w14:textId="6F71598D" w:rsidR="00494BF3" w:rsidRDefault="00494BF3" w:rsidP="00494BF3">
            <w:pPr>
              <w:pStyle w:val="Table-Body-centred"/>
            </w:pPr>
            <w:r w:rsidRPr="00366F9D">
              <w:t>0%</w:t>
            </w:r>
          </w:p>
        </w:tc>
        <w:tc>
          <w:tcPr>
            <w:tcW w:w="1424" w:type="dxa"/>
          </w:tcPr>
          <w:p w14:paraId="197E713A" w14:textId="6A855F58" w:rsidR="00494BF3" w:rsidRDefault="00494BF3" w:rsidP="00494BF3">
            <w:pPr>
              <w:pStyle w:val="Table-Body-centred"/>
            </w:pPr>
            <w:r w:rsidRPr="00366F9D">
              <w:t>1%</w:t>
            </w:r>
          </w:p>
        </w:tc>
        <w:tc>
          <w:tcPr>
            <w:tcW w:w="1424" w:type="dxa"/>
          </w:tcPr>
          <w:p w14:paraId="22CA82DB" w14:textId="19A7AD2E" w:rsidR="00494BF3" w:rsidRDefault="00494BF3" w:rsidP="00494BF3">
            <w:pPr>
              <w:pStyle w:val="Table-Body-centred"/>
            </w:pPr>
            <w:r w:rsidRPr="00366F9D">
              <w:t>18%</w:t>
            </w:r>
          </w:p>
        </w:tc>
        <w:tc>
          <w:tcPr>
            <w:tcW w:w="1424" w:type="dxa"/>
          </w:tcPr>
          <w:p w14:paraId="4E0ADBA8" w14:textId="50AB7B00" w:rsidR="00494BF3" w:rsidRDefault="00494BF3" w:rsidP="00494BF3">
            <w:pPr>
              <w:pStyle w:val="Table-Body-centred"/>
            </w:pPr>
            <w:r w:rsidRPr="00366F9D">
              <w:t>66%</w:t>
            </w:r>
          </w:p>
        </w:tc>
        <w:tc>
          <w:tcPr>
            <w:tcW w:w="1424" w:type="dxa"/>
          </w:tcPr>
          <w:p w14:paraId="11999C8B" w14:textId="5D9A9F2B" w:rsidR="00494BF3" w:rsidRDefault="00494BF3" w:rsidP="00494BF3">
            <w:pPr>
              <w:pStyle w:val="Table-Body-centred"/>
            </w:pPr>
            <w:r w:rsidRPr="00366F9D">
              <w:t>15%</w:t>
            </w:r>
          </w:p>
        </w:tc>
        <w:tc>
          <w:tcPr>
            <w:tcW w:w="1424" w:type="dxa"/>
          </w:tcPr>
          <w:p w14:paraId="4D17322C" w14:textId="0FD90B3E" w:rsidR="00494BF3" w:rsidRDefault="00494BF3" w:rsidP="00494BF3">
            <w:pPr>
              <w:pStyle w:val="Table-Body-centred"/>
            </w:pPr>
            <w:r w:rsidRPr="00366F9D">
              <w:t>0%</w:t>
            </w:r>
          </w:p>
        </w:tc>
      </w:tr>
      <w:tr w:rsidR="00494BF3" w14:paraId="642661D9" w14:textId="77777777" w:rsidTr="007F0A71">
        <w:tc>
          <w:tcPr>
            <w:tcW w:w="1424" w:type="dxa"/>
            <w:vAlign w:val="center"/>
          </w:tcPr>
          <w:p w14:paraId="4B984300" w14:textId="0250D5EE" w:rsidR="00494BF3" w:rsidRDefault="00494BF3" w:rsidP="00494BF3">
            <w:pPr>
              <w:pStyle w:val="Table-Body-leftaligned"/>
            </w:pPr>
            <w:r w:rsidRPr="008B4A38">
              <w:t>Winter OSR</w:t>
            </w:r>
          </w:p>
        </w:tc>
        <w:tc>
          <w:tcPr>
            <w:tcW w:w="1424" w:type="dxa"/>
          </w:tcPr>
          <w:p w14:paraId="2B4F4299" w14:textId="1490FC1A" w:rsidR="00494BF3" w:rsidRDefault="00494BF3" w:rsidP="00494BF3">
            <w:pPr>
              <w:pStyle w:val="Table-Body-centred"/>
            </w:pPr>
            <w:r w:rsidRPr="00366F9D">
              <w:t>1%</w:t>
            </w:r>
          </w:p>
        </w:tc>
        <w:tc>
          <w:tcPr>
            <w:tcW w:w="1424" w:type="dxa"/>
          </w:tcPr>
          <w:p w14:paraId="1ABABB21" w14:textId="19243C3A" w:rsidR="00494BF3" w:rsidRDefault="00494BF3" w:rsidP="00494BF3">
            <w:pPr>
              <w:pStyle w:val="Table-Body-centred"/>
            </w:pPr>
            <w:r w:rsidRPr="00366F9D">
              <w:t>3%</w:t>
            </w:r>
          </w:p>
        </w:tc>
        <w:tc>
          <w:tcPr>
            <w:tcW w:w="1424" w:type="dxa"/>
          </w:tcPr>
          <w:p w14:paraId="08A9A8C6" w14:textId="1E273B30" w:rsidR="00494BF3" w:rsidRDefault="00494BF3" w:rsidP="00494BF3">
            <w:pPr>
              <w:pStyle w:val="Table-Body-centred"/>
            </w:pPr>
            <w:r w:rsidRPr="00366F9D">
              <w:t>12%</w:t>
            </w:r>
          </w:p>
        </w:tc>
        <w:tc>
          <w:tcPr>
            <w:tcW w:w="1424" w:type="dxa"/>
          </w:tcPr>
          <w:p w14:paraId="6FBC67DA" w14:textId="62166A2A" w:rsidR="00494BF3" w:rsidRDefault="00494BF3" w:rsidP="00494BF3">
            <w:pPr>
              <w:pStyle w:val="Table-Body-centred"/>
            </w:pPr>
            <w:r w:rsidRPr="00366F9D">
              <w:t>57%</w:t>
            </w:r>
          </w:p>
        </w:tc>
        <w:tc>
          <w:tcPr>
            <w:tcW w:w="1424" w:type="dxa"/>
          </w:tcPr>
          <w:p w14:paraId="29E911AE" w14:textId="10F3C346" w:rsidR="00494BF3" w:rsidRDefault="00494BF3" w:rsidP="00494BF3">
            <w:pPr>
              <w:pStyle w:val="Table-Body-centred"/>
            </w:pPr>
            <w:r w:rsidRPr="00366F9D">
              <w:t>27%</w:t>
            </w:r>
          </w:p>
        </w:tc>
        <w:tc>
          <w:tcPr>
            <w:tcW w:w="1424" w:type="dxa"/>
          </w:tcPr>
          <w:p w14:paraId="6D5800DF" w14:textId="72970B20" w:rsidR="00494BF3" w:rsidRDefault="00494BF3" w:rsidP="00494BF3">
            <w:pPr>
              <w:pStyle w:val="Table-Body-centred"/>
            </w:pPr>
            <w:r w:rsidRPr="00366F9D">
              <w:t>0%</w:t>
            </w:r>
          </w:p>
        </w:tc>
      </w:tr>
      <w:tr w:rsidR="00494BF3" w14:paraId="28D916B3" w14:textId="77777777" w:rsidTr="005E546B">
        <w:tc>
          <w:tcPr>
            <w:tcW w:w="1424" w:type="dxa"/>
          </w:tcPr>
          <w:p w14:paraId="69CB7834" w14:textId="2A3A3AE8" w:rsidR="00494BF3" w:rsidRPr="008B4A38" w:rsidRDefault="00494BF3" w:rsidP="00494BF3">
            <w:pPr>
              <w:pStyle w:val="Table-Body-leftaligned"/>
            </w:pPr>
            <w:r w:rsidRPr="00D57454">
              <w:t>Spring wheat</w:t>
            </w:r>
          </w:p>
        </w:tc>
        <w:tc>
          <w:tcPr>
            <w:tcW w:w="1424" w:type="dxa"/>
          </w:tcPr>
          <w:p w14:paraId="3DCF541C" w14:textId="2792BB65" w:rsidR="00494BF3" w:rsidRPr="008B4A38" w:rsidRDefault="00494BF3" w:rsidP="00494BF3">
            <w:pPr>
              <w:pStyle w:val="Table-Body-centred"/>
            </w:pPr>
            <w:r w:rsidRPr="00366F9D">
              <w:t>1%</w:t>
            </w:r>
          </w:p>
        </w:tc>
        <w:tc>
          <w:tcPr>
            <w:tcW w:w="1424" w:type="dxa"/>
          </w:tcPr>
          <w:p w14:paraId="55DA7B41" w14:textId="432BD367" w:rsidR="00494BF3" w:rsidRDefault="00494BF3" w:rsidP="00494BF3">
            <w:pPr>
              <w:pStyle w:val="Table-Body-centred"/>
            </w:pPr>
            <w:r w:rsidRPr="00366F9D">
              <w:t>2%</w:t>
            </w:r>
          </w:p>
        </w:tc>
        <w:tc>
          <w:tcPr>
            <w:tcW w:w="1424" w:type="dxa"/>
          </w:tcPr>
          <w:p w14:paraId="39B75896" w14:textId="0359FBBA" w:rsidR="00494BF3" w:rsidRDefault="00494BF3" w:rsidP="00494BF3">
            <w:pPr>
              <w:pStyle w:val="Table-Body-centred"/>
            </w:pPr>
            <w:r w:rsidRPr="00366F9D">
              <w:t>24%</w:t>
            </w:r>
          </w:p>
        </w:tc>
        <w:tc>
          <w:tcPr>
            <w:tcW w:w="1424" w:type="dxa"/>
          </w:tcPr>
          <w:p w14:paraId="49CE4284" w14:textId="2E1AB1DD" w:rsidR="00494BF3" w:rsidRDefault="00494BF3" w:rsidP="00494BF3">
            <w:pPr>
              <w:pStyle w:val="Table-Body-centred"/>
            </w:pPr>
            <w:r w:rsidRPr="00366F9D">
              <w:t>67%</w:t>
            </w:r>
          </w:p>
        </w:tc>
        <w:tc>
          <w:tcPr>
            <w:tcW w:w="1424" w:type="dxa"/>
          </w:tcPr>
          <w:p w14:paraId="08DA9B7F" w14:textId="512633F7" w:rsidR="00494BF3" w:rsidRDefault="00494BF3" w:rsidP="00494BF3">
            <w:pPr>
              <w:pStyle w:val="Table-Body-centred"/>
            </w:pPr>
            <w:r w:rsidRPr="00366F9D">
              <w:t>6%</w:t>
            </w:r>
          </w:p>
        </w:tc>
        <w:tc>
          <w:tcPr>
            <w:tcW w:w="1424" w:type="dxa"/>
          </w:tcPr>
          <w:p w14:paraId="458C0CEF" w14:textId="41A46BEA" w:rsidR="00494BF3" w:rsidRPr="008B4A38" w:rsidRDefault="00494BF3" w:rsidP="00494BF3">
            <w:pPr>
              <w:pStyle w:val="Table-Body-centred"/>
            </w:pPr>
            <w:r w:rsidRPr="00366F9D">
              <w:t>1%</w:t>
            </w:r>
          </w:p>
        </w:tc>
      </w:tr>
      <w:tr w:rsidR="00494BF3" w14:paraId="438250A4" w14:textId="77777777" w:rsidTr="005E546B">
        <w:tc>
          <w:tcPr>
            <w:tcW w:w="1424" w:type="dxa"/>
          </w:tcPr>
          <w:p w14:paraId="6664B2FF" w14:textId="29A69443" w:rsidR="00494BF3" w:rsidRPr="008B4A38" w:rsidRDefault="00494BF3" w:rsidP="00494BF3">
            <w:pPr>
              <w:pStyle w:val="Table-Body-leftaligned"/>
            </w:pPr>
            <w:r w:rsidRPr="00D57454">
              <w:t>Spring barley</w:t>
            </w:r>
          </w:p>
        </w:tc>
        <w:tc>
          <w:tcPr>
            <w:tcW w:w="1424" w:type="dxa"/>
          </w:tcPr>
          <w:p w14:paraId="4033C378" w14:textId="5BCCBA09" w:rsidR="00494BF3" w:rsidRPr="008B4A38" w:rsidRDefault="00494BF3" w:rsidP="00494BF3">
            <w:pPr>
              <w:pStyle w:val="Table-Body-centred"/>
            </w:pPr>
            <w:r w:rsidRPr="00366F9D">
              <w:t>0%</w:t>
            </w:r>
          </w:p>
        </w:tc>
        <w:tc>
          <w:tcPr>
            <w:tcW w:w="1424" w:type="dxa"/>
          </w:tcPr>
          <w:p w14:paraId="1CDE9C7A" w14:textId="5809D6CA" w:rsidR="00494BF3" w:rsidRDefault="00494BF3" w:rsidP="00494BF3">
            <w:pPr>
              <w:pStyle w:val="Table-Body-centred"/>
            </w:pPr>
            <w:r w:rsidRPr="00366F9D">
              <w:t>2%</w:t>
            </w:r>
          </w:p>
        </w:tc>
        <w:tc>
          <w:tcPr>
            <w:tcW w:w="1424" w:type="dxa"/>
          </w:tcPr>
          <w:p w14:paraId="2325AB8B" w14:textId="0C81F654" w:rsidR="00494BF3" w:rsidRDefault="00494BF3" w:rsidP="00494BF3">
            <w:pPr>
              <w:pStyle w:val="Table-Body-centred"/>
            </w:pPr>
            <w:r w:rsidRPr="00366F9D">
              <w:t>17%</w:t>
            </w:r>
          </w:p>
        </w:tc>
        <w:tc>
          <w:tcPr>
            <w:tcW w:w="1424" w:type="dxa"/>
          </w:tcPr>
          <w:p w14:paraId="7732C850" w14:textId="70D39A0D" w:rsidR="00494BF3" w:rsidRDefault="00494BF3" w:rsidP="00494BF3">
            <w:pPr>
              <w:pStyle w:val="Table-Body-centred"/>
            </w:pPr>
            <w:r w:rsidRPr="00366F9D">
              <w:t>67%</w:t>
            </w:r>
          </w:p>
        </w:tc>
        <w:tc>
          <w:tcPr>
            <w:tcW w:w="1424" w:type="dxa"/>
          </w:tcPr>
          <w:p w14:paraId="723B9693" w14:textId="00C9E501" w:rsidR="00494BF3" w:rsidRDefault="00494BF3" w:rsidP="00494BF3">
            <w:pPr>
              <w:pStyle w:val="Table-Body-centred"/>
            </w:pPr>
            <w:r w:rsidRPr="00366F9D">
              <w:t>12%</w:t>
            </w:r>
          </w:p>
        </w:tc>
        <w:tc>
          <w:tcPr>
            <w:tcW w:w="1424" w:type="dxa"/>
          </w:tcPr>
          <w:p w14:paraId="730C8CCC" w14:textId="5C6309A4" w:rsidR="00494BF3" w:rsidRPr="008B4A38" w:rsidRDefault="00494BF3" w:rsidP="00494BF3">
            <w:pPr>
              <w:pStyle w:val="Table-Body-centred"/>
            </w:pPr>
            <w:r w:rsidRPr="00366F9D">
              <w:t>3%</w:t>
            </w:r>
          </w:p>
        </w:tc>
      </w:tr>
      <w:tr w:rsidR="00494BF3" w14:paraId="5960DE9D" w14:textId="77777777" w:rsidTr="005E546B">
        <w:tc>
          <w:tcPr>
            <w:tcW w:w="1424" w:type="dxa"/>
          </w:tcPr>
          <w:p w14:paraId="771FE6E3" w14:textId="621E985D" w:rsidR="00494BF3" w:rsidRPr="008B4A38" w:rsidRDefault="00494BF3" w:rsidP="00494BF3">
            <w:pPr>
              <w:pStyle w:val="Table-Body-leftaligned"/>
            </w:pPr>
            <w:r w:rsidRPr="00D57454">
              <w:t>Spring oats</w:t>
            </w:r>
          </w:p>
        </w:tc>
        <w:tc>
          <w:tcPr>
            <w:tcW w:w="1424" w:type="dxa"/>
          </w:tcPr>
          <w:p w14:paraId="1DE97D2A" w14:textId="5E75ADD9" w:rsidR="00494BF3" w:rsidRPr="008B4A38" w:rsidRDefault="00494BF3" w:rsidP="00494BF3">
            <w:pPr>
              <w:pStyle w:val="Table-Body-centred"/>
            </w:pPr>
            <w:r w:rsidRPr="00366F9D">
              <w:t>0%</w:t>
            </w:r>
          </w:p>
        </w:tc>
        <w:tc>
          <w:tcPr>
            <w:tcW w:w="1424" w:type="dxa"/>
          </w:tcPr>
          <w:p w14:paraId="217380E9" w14:textId="639B37E5" w:rsidR="00494BF3" w:rsidRDefault="00494BF3" w:rsidP="00494BF3">
            <w:pPr>
              <w:pStyle w:val="Table-Body-centred"/>
            </w:pPr>
            <w:r w:rsidRPr="00366F9D">
              <w:t>2%</w:t>
            </w:r>
          </w:p>
        </w:tc>
        <w:tc>
          <w:tcPr>
            <w:tcW w:w="1424" w:type="dxa"/>
          </w:tcPr>
          <w:p w14:paraId="67253D83" w14:textId="54BC32C4" w:rsidR="00494BF3" w:rsidRDefault="00494BF3" w:rsidP="00494BF3">
            <w:pPr>
              <w:pStyle w:val="Table-Body-centred"/>
            </w:pPr>
            <w:r w:rsidRPr="00366F9D">
              <w:t>23%</w:t>
            </w:r>
          </w:p>
        </w:tc>
        <w:tc>
          <w:tcPr>
            <w:tcW w:w="1424" w:type="dxa"/>
          </w:tcPr>
          <w:p w14:paraId="1AB5C6C0" w14:textId="52F47C98" w:rsidR="00494BF3" w:rsidRDefault="00494BF3" w:rsidP="00494BF3">
            <w:pPr>
              <w:pStyle w:val="Table-Body-centred"/>
            </w:pPr>
            <w:r w:rsidRPr="00366F9D">
              <w:t>65%</w:t>
            </w:r>
          </w:p>
        </w:tc>
        <w:tc>
          <w:tcPr>
            <w:tcW w:w="1424" w:type="dxa"/>
          </w:tcPr>
          <w:p w14:paraId="4A966667" w14:textId="085CA292" w:rsidR="00494BF3" w:rsidRDefault="00494BF3" w:rsidP="00494BF3">
            <w:pPr>
              <w:pStyle w:val="Table-Body-centred"/>
            </w:pPr>
            <w:r w:rsidRPr="00366F9D">
              <w:t>6%</w:t>
            </w:r>
          </w:p>
        </w:tc>
        <w:tc>
          <w:tcPr>
            <w:tcW w:w="1424" w:type="dxa"/>
          </w:tcPr>
          <w:p w14:paraId="06E34F2B" w14:textId="64D57C3A" w:rsidR="00494BF3" w:rsidRPr="008B4A38" w:rsidRDefault="00494BF3" w:rsidP="00494BF3">
            <w:pPr>
              <w:pStyle w:val="Table-Body-centred"/>
            </w:pPr>
            <w:r w:rsidRPr="00366F9D">
              <w:t>4%</w:t>
            </w:r>
          </w:p>
        </w:tc>
      </w:tr>
      <w:tr w:rsidR="00494BF3" w14:paraId="1A3FC29A" w14:textId="77777777" w:rsidTr="0079079C">
        <w:tc>
          <w:tcPr>
            <w:tcW w:w="1424" w:type="dxa"/>
          </w:tcPr>
          <w:p w14:paraId="00638D18" w14:textId="0764DEF6" w:rsidR="00494BF3" w:rsidRPr="00D57454" w:rsidRDefault="00494BF3" w:rsidP="00494BF3">
            <w:pPr>
              <w:pStyle w:val="Table-Body-leftaligned"/>
            </w:pPr>
            <w:r>
              <w:t>Spring OSR</w:t>
            </w:r>
          </w:p>
        </w:tc>
        <w:tc>
          <w:tcPr>
            <w:tcW w:w="1424" w:type="dxa"/>
          </w:tcPr>
          <w:p w14:paraId="06287144" w14:textId="6D0B97F5" w:rsidR="00494BF3" w:rsidRPr="00D57454" w:rsidRDefault="00494BF3" w:rsidP="00494BF3">
            <w:pPr>
              <w:pStyle w:val="Table-Body-centred"/>
            </w:pPr>
            <w:r w:rsidRPr="00366F9D">
              <w:t>0%</w:t>
            </w:r>
          </w:p>
        </w:tc>
        <w:tc>
          <w:tcPr>
            <w:tcW w:w="1424" w:type="dxa"/>
          </w:tcPr>
          <w:p w14:paraId="588E033D" w14:textId="70D17881" w:rsidR="00494BF3" w:rsidRPr="00D57454" w:rsidRDefault="00494BF3" w:rsidP="00494BF3">
            <w:pPr>
              <w:pStyle w:val="Table-Body-centred"/>
            </w:pPr>
            <w:r w:rsidRPr="00366F9D">
              <w:t>0%</w:t>
            </w:r>
          </w:p>
        </w:tc>
        <w:tc>
          <w:tcPr>
            <w:tcW w:w="1424" w:type="dxa"/>
          </w:tcPr>
          <w:p w14:paraId="5B1F1296" w14:textId="2F08D949" w:rsidR="00494BF3" w:rsidRPr="00D57454" w:rsidRDefault="00494BF3" w:rsidP="00494BF3">
            <w:pPr>
              <w:pStyle w:val="Table-Body-centred"/>
            </w:pPr>
            <w:r w:rsidRPr="00366F9D">
              <w:t>21%</w:t>
            </w:r>
          </w:p>
        </w:tc>
        <w:tc>
          <w:tcPr>
            <w:tcW w:w="1424" w:type="dxa"/>
          </w:tcPr>
          <w:p w14:paraId="5218ECDE" w14:textId="01849912" w:rsidR="00494BF3" w:rsidRPr="00D57454" w:rsidRDefault="00494BF3" w:rsidP="00494BF3">
            <w:pPr>
              <w:pStyle w:val="Table-Body-centred"/>
            </w:pPr>
            <w:r w:rsidRPr="00366F9D">
              <w:t>4%</w:t>
            </w:r>
          </w:p>
        </w:tc>
        <w:tc>
          <w:tcPr>
            <w:tcW w:w="1424" w:type="dxa"/>
          </w:tcPr>
          <w:p w14:paraId="2143DB77" w14:textId="56F0E8F5" w:rsidR="00494BF3" w:rsidRPr="00D57454" w:rsidRDefault="00494BF3" w:rsidP="00494BF3">
            <w:pPr>
              <w:pStyle w:val="Table-Body-centred"/>
            </w:pPr>
            <w:r w:rsidRPr="00366F9D">
              <w:t>0%</w:t>
            </w:r>
          </w:p>
        </w:tc>
        <w:tc>
          <w:tcPr>
            <w:tcW w:w="1424" w:type="dxa"/>
          </w:tcPr>
          <w:p w14:paraId="43471D67" w14:textId="7325D94A" w:rsidR="00494BF3" w:rsidRPr="00D57454" w:rsidRDefault="00494BF3" w:rsidP="00494BF3">
            <w:pPr>
              <w:pStyle w:val="Table-Body-centred"/>
            </w:pPr>
            <w:r w:rsidRPr="00366F9D">
              <w:t>75%</w:t>
            </w:r>
          </w:p>
        </w:tc>
      </w:tr>
    </w:tbl>
    <w:p w14:paraId="644329D2" w14:textId="77777777" w:rsidR="008B4A38" w:rsidRDefault="008B4A38" w:rsidP="00B95191">
      <w:pPr>
        <w:spacing w:after="0"/>
      </w:pPr>
    </w:p>
    <w:p w14:paraId="72CD9462" w14:textId="77777777" w:rsidR="008B4A38" w:rsidRDefault="008B4A38" w:rsidP="00B95191">
      <w:pPr>
        <w:pStyle w:val="Source"/>
      </w:pPr>
      <w:r w:rsidRPr="008B4A38">
        <w:t>Source: AHDB, data captured by RSK ADAS Ltd</w:t>
      </w:r>
    </w:p>
    <w:p w14:paraId="7F0C9E26" w14:textId="7646AA13" w:rsidR="00B95191" w:rsidRPr="00B95191" w:rsidRDefault="00B95191" w:rsidP="00B95191">
      <w:pPr>
        <w:pStyle w:val="Caption"/>
      </w:pPr>
      <w:r w:rsidRPr="00B95191">
        <w:t>Data on UK crop conditions captured up to Monday 2</w:t>
      </w:r>
      <w:r w:rsidR="00D61F0E">
        <w:t>7</w:t>
      </w:r>
      <w:r w:rsidRPr="00B95191">
        <w:t> </w:t>
      </w:r>
      <w:r w:rsidR="00D61F0E">
        <w:t>April</w:t>
      </w:r>
      <w:r w:rsidR="00447568">
        <w:t xml:space="preserve"> 2026.</w:t>
      </w:r>
    </w:p>
    <w:p w14:paraId="7D3D55C2" w14:textId="77777777" w:rsidR="008B4A38" w:rsidRDefault="008B4A38" w:rsidP="00B95191">
      <w:r w:rsidRPr="008B4A38">
        <w:t>Note: Figures may not sum to 100% due to rounding.</w:t>
      </w:r>
    </w:p>
    <w:p w14:paraId="5878BA94" w14:textId="27D2A55B" w:rsidR="008B4A38" w:rsidRPr="008B4A38" w:rsidRDefault="008B4A38" w:rsidP="008B4A38">
      <w:pPr>
        <w:pStyle w:val="Heading2"/>
      </w:pPr>
      <w:r>
        <w:t>W</w:t>
      </w:r>
      <w:r w:rsidR="003A476F">
        <w:t>inter w</w:t>
      </w:r>
      <w:r>
        <w:t>heat</w:t>
      </w:r>
    </w:p>
    <w:p w14:paraId="547C485E" w14:textId="77777777" w:rsidR="008B4A38" w:rsidRDefault="008B4A38" w:rsidP="008B4A38">
      <w:pPr>
        <w:pStyle w:val="Heading3"/>
      </w:pPr>
      <w:r>
        <w:t xml:space="preserve">Crop development </w:t>
      </w:r>
    </w:p>
    <w:p w14:paraId="11FB2D55" w14:textId="5DC0A07E" w:rsidR="00494BF3" w:rsidRPr="00494BF3" w:rsidRDefault="003A476F" w:rsidP="00494BF3">
      <w:r>
        <w:t>Nationally, c</w:t>
      </w:r>
      <w:r w:rsidRPr="00494BF3">
        <w:t>rops range from GS31</w:t>
      </w:r>
      <w:r w:rsidR="00D664E3">
        <w:t xml:space="preserve"> (first node detectable)</w:t>
      </w:r>
      <w:r w:rsidRPr="00494BF3">
        <w:t xml:space="preserve"> to GS33</w:t>
      </w:r>
      <w:r w:rsidR="00D664E3">
        <w:t xml:space="preserve"> (third node detectable)</w:t>
      </w:r>
      <w:r>
        <w:t>, slightly ahead of last year when most crops were at GS31 to GS32</w:t>
      </w:r>
      <w:r w:rsidR="00512828">
        <w:t xml:space="preserve"> (second node detectable)</w:t>
      </w:r>
      <w:r>
        <w:t xml:space="preserve">. In Scotland, crops are </w:t>
      </w:r>
      <w:r w:rsidRPr="00D664E3">
        <w:t xml:space="preserve">advanced for this time of year, with </w:t>
      </w:r>
      <w:r w:rsidR="00E510C1" w:rsidRPr="00D664E3">
        <w:t>le</w:t>
      </w:r>
      <w:r w:rsidR="00512828">
        <w:t>a</w:t>
      </w:r>
      <w:r w:rsidR="00E510C1" w:rsidRPr="00D664E3">
        <w:t xml:space="preserve">f </w:t>
      </w:r>
      <w:r w:rsidR="00512828">
        <w:t>3</w:t>
      </w:r>
      <w:r w:rsidRPr="00D664E3">
        <w:t xml:space="preserve"> now emerging.</w:t>
      </w:r>
    </w:p>
    <w:p w14:paraId="0CFC22E2" w14:textId="2F915DBD" w:rsidR="008B4A38" w:rsidRDefault="008B4A38" w:rsidP="008B4A38">
      <w:pPr>
        <w:pStyle w:val="Heading3"/>
      </w:pPr>
      <w:r>
        <w:t xml:space="preserve">Nutrition </w:t>
      </w:r>
    </w:p>
    <w:p w14:paraId="3039BA99" w14:textId="3B81353F" w:rsidR="00BC6B8F" w:rsidRDefault="00BC6B8F" w:rsidP="00BC6B8F">
      <w:r>
        <w:t>Many crops have now received 150–180 kg N/ha. However, some growers are delaying or reducing final nitrogen applications due to dry soil conditions and high fertiliser costs. For example, final nitrogen applications are being delayed on solid fertiliser systems in Eastern England.</w:t>
      </w:r>
    </w:p>
    <w:p w14:paraId="5A7BF3CC" w14:textId="58F16C25" w:rsidR="00BC6B8F" w:rsidRDefault="00BC6B8F" w:rsidP="00BC6B8F">
      <w:r>
        <w:t>In the North East of England, plant growth regulator (PGR) rates were reduced due to limited crop height.</w:t>
      </w:r>
    </w:p>
    <w:p w14:paraId="4F7F433E" w14:textId="789BC8A7" w:rsidR="008B4A38" w:rsidRDefault="008B4A38" w:rsidP="0021263E">
      <w:pPr>
        <w:pStyle w:val="Heading3"/>
      </w:pPr>
      <w:r>
        <w:lastRenderedPageBreak/>
        <w:t xml:space="preserve">Pest, weed and disease pressures </w:t>
      </w:r>
    </w:p>
    <w:p w14:paraId="095CC9C5" w14:textId="44D5925E" w:rsidR="00BC6B8F" w:rsidRDefault="00BC6B8F" w:rsidP="00BC6B8F">
      <w:r>
        <w:t>Barley Yellow Dwarf Virus (BYDV) is visib</w:t>
      </w:r>
      <w:r w:rsidRPr="009E1E78">
        <w:t xml:space="preserve">le in early-drilled crops. High aphid numbers are reported, but there is generally a strong natural predator </w:t>
      </w:r>
      <w:r w:rsidR="00D664E3" w:rsidRPr="009E1E78">
        <w:t>(ladybirds)</w:t>
      </w:r>
      <w:r w:rsidR="00D664E3">
        <w:t xml:space="preserve"> </w:t>
      </w:r>
      <w:r w:rsidRPr="009E1E78">
        <w:t>presence.</w:t>
      </w:r>
    </w:p>
    <w:p w14:paraId="681AB132" w14:textId="55AC8154" w:rsidR="00C53618" w:rsidRDefault="00FD6450" w:rsidP="00C53618">
      <w:r>
        <w:t>S</w:t>
      </w:r>
      <w:r w:rsidR="00BC6B8F" w:rsidRPr="00EA61F0">
        <w:t xml:space="preserve">eptoria </w:t>
      </w:r>
      <w:r w:rsidR="00C53618">
        <w:t xml:space="preserve">is widely </w:t>
      </w:r>
      <w:r w:rsidR="00BC6B8F" w:rsidRPr="00EA61F0">
        <w:t>present</w:t>
      </w:r>
      <w:r w:rsidR="00C53618">
        <w:t>,</w:t>
      </w:r>
      <w:r w:rsidR="00BC6B8F" w:rsidRPr="00EA61F0">
        <w:t xml:space="preserve"> </w:t>
      </w:r>
      <w:r>
        <w:t>while y</w:t>
      </w:r>
      <w:r w:rsidR="00BC6B8F" w:rsidRPr="00626FB8">
        <w:t xml:space="preserve">ellow rust </w:t>
      </w:r>
      <w:r w:rsidR="00BC6B8F">
        <w:t xml:space="preserve">is </w:t>
      </w:r>
      <w:r w:rsidR="00BC6B8F" w:rsidRPr="00626FB8">
        <w:t>variet</w:t>
      </w:r>
      <w:r w:rsidR="00BC6B8F">
        <w:t>y-</w:t>
      </w:r>
      <w:r w:rsidR="00BC6B8F" w:rsidRPr="00626FB8">
        <w:t xml:space="preserve">specific and </w:t>
      </w:r>
      <w:r w:rsidR="00BC6B8F">
        <w:t>more prominent</w:t>
      </w:r>
      <w:r w:rsidR="00BC6B8F" w:rsidRPr="00626FB8">
        <w:t xml:space="preserve"> in late-drilled crops.</w:t>
      </w:r>
      <w:r w:rsidR="00C53618" w:rsidRPr="00C53618">
        <w:t xml:space="preserve"> </w:t>
      </w:r>
      <w:r w:rsidR="00C53618" w:rsidRPr="00D664E3">
        <w:t>In the South West</w:t>
      </w:r>
      <w:r w:rsidRPr="00D664E3">
        <w:t>,</w:t>
      </w:r>
      <w:r w:rsidR="00C53618" w:rsidRPr="00D664E3">
        <w:t xml:space="preserve"> yellow rust infections </w:t>
      </w:r>
      <w:r w:rsidR="009E1E78" w:rsidRPr="00D664E3">
        <w:t xml:space="preserve">in </w:t>
      </w:r>
      <w:r w:rsidR="00D664E3" w:rsidRPr="00D664E3">
        <w:t xml:space="preserve">crops that were </w:t>
      </w:r>
      <w:r w:rsidR="00C53618" w:rsidRPr="00D664E3">
        <w:t>untreated at T0, develop</w:t>
      </w:r>
      <w:r w:rsidR="00D664E3" w:rsidRPr="00D664E3">
        <w:t>ed</w:t>
      </w:r>
      <w:r w:rsidR="00C53618" w:rsidRPr="00D664E3">
        <w:t xml:space="preserve"> early and with high intensity.</w:t>
      </w:r>
    </w:p>
    <w:p w14:paraId="13CEDF41" w14:textId="77777777" w:rsidR="00D664E3" w:rsidRDefault="00BC6B8F" w:rsidP="00C53618">
      <w:r w:rsidRPr="006232BE">
        <w:t>Brown rust</w:t>
      </w:r>
      <w:r w:rsidRPr="00D4091C">
        <w:rPr>
          <w:b/>
          <w:bCs/>
        </w:rPr>
        <w:t xml:space="preserve"> </w:t>
      </w:r>
      <w:r w:rsidRPr="006232BE">
        <w:t>is present at low levels</w:t>
      </w:r>
      <w:r w:rsidR="00D664E3">
        <w:t xml:space="preserve"> and e</w:t>
      </w:r>
      <w:r w:rsidRPr="001053AF">
        <w:t xml:space="preserve">yespot </w:t>
      </w:r>
      <w:r>
        <w:t xml:space="preserve">has </w:t>
      </w:r>
      <w:r w:rsidR="00D664E3">
        <w:t xml:space="preserve">also </w:t>
      </w:r>
      <w:r>
        <w:t>been observed</w:t>
      </w:r>
      <w:r w:rsidR="00D664E3">
        <w:t xml:space="preserve">. </w:t>
      </w:r>
    </w:p>
    <w:p w14:paraId="15B781BD" w14:textId="0DD086C5" w:rsidR="00C53618" w:rsidRDefault="00D664E3" w:rsidP="00C53618">
      <w:r>
        <w:t>I</w:t>
      </w:r>
      <w:r w:rsidR="00C53618">
        <w:t xml:space="preserve">n the West Midlands, </w:t>
      </w:r>
      <w:r w:rsidRPr="00D664E3">
        <w:t>eyespot presence is influencing fungicide choice.</w:t>
      </w:r>
    </w:p>
    <w:p w14:paraId="00CFC516" w14:textId="77777777" w:rsidR="00D664E3" w:rsidRDefault="00C53618" w:rsidP="00D664E3">
      <w:r>
        <w:t>In the North East, robust T1 fungicide programmes have been applied, with minimal rate reduction despite cost</w:t>
      </w:r>
      <w:r w:rsidR="00FD6450">
        <w:t xml:space="preserve"> concerns</w:t>
      </w:r>
      <w:r>
        <w:t>.</w:t>
      </w:r>
      <w:r w:rsidR="00D664E3" w:rsidRPr="00D664E3">
        <w:t xml:space="preserve"> </w:t>
      </w:r>
    </w:p>
    <w:p w14:paraId="23F55965" w14:textId="04467595" w:rsidR="00C76CEE" w:rsidRDefault="00D664E3" w:rsidP="00900C2D">
      <w:r>
        <w:t>There are no major weed issues reported.</w:t>
      </w:r>
    </w:p>
    <w:p w14:paraId="719B17A8" w14:textId="4AD68D3E" w:rsidR="008B4A38" w:rsidRDefault="008B4A38" w:rsidP="00C76CEE">
      <w:pPr>
        <w:pStyle w:val="Heading3"/>
      </w:pPr>
      <w:r>
        <w:t xml:space="preserve">Prospects </w:t>
      </w:r>
    </w:p>
    <w:p w14:paraId="421A8D33" w14:textId="77777777" w:rsidR="00D0728E" w:rsidRDefault="00D0728E" w:rsidP="00D0728E">
      <w:r>
        <w:t>Across the UK, 75% of winter wheat crops are in a good or excellent condition. This is down from the 82% rated good or excellent at the end of March, but still well above the 60% in April last year. It is also the highest score for April since 2023 (88%).</w:t>
      </w:r>
    </w:p>
    <w:p w14:paraId="28A556AC" w14:textId="184D577B" w:rsidR="00B16E53" w:rsidRDefault="00D664E3" w:rsidP="00D0728E">
      <w:r>
        <w:t>However, c</w:t>
      </w:r>
      <w:r w:rsidR="00D0728E" w:rsidRPr="00D664E3">
        <w:t>ondition</w:t>
      </w:r>
      <w:r w:rsidR="00B16E53" w:rsidRPr="00D664E3">
        <w:t>s</w:t>
      </w:r>
      <w:r w:rsidR="00D0728E" w:rsidRPr="00D664E3">
        <w:t xml:space="preserve"> var</w:t>
      </w:r>
      <w:r w:rsidR="00B16E53" w:rsidRPr="00D664E3">
        <w:t>y across the UK</w:t>
      </w:r>
      <w:r w:rsidR="00D0728E" w:rsidRPr="00D664E3">
        <w:t xml:space="preserve">. </w:t>
      </w:r>
      <w:r w:rsidR="00B16E53" w:rsidRPr="00D664E3">
        <w:t>For example, i</w:t>
      </w:r>
      <w:r w:rsidR="00D0728E" w:rsidRPr="00D664E3">
        <w:t xml:space="preserve">n </w:t>
      </w:r>
      <w:r w:rsidR="009E1E78" w:rsidRPr="00D664E3">
        <w:t xml:space="preserve">Eastern England and the </w:t>
      </w:r>
      <w:r w:rsidR="00D0728E" w:rsidRPr="00D664E3">
        <w:t>East Midlands, crop condition has declined slightly due to drought stress on lighter so</w:t>
      </w:r>
      <w:r w:rsidR="00D0728E" w:rsidRPr="009E1E78">
        <w:t xml:space="preserve">ils. </w:t>
      </w:r>
    </w:p>
    <w:p w14:paraId="0FA7B3B3" w14:textId="1FBC1DAC" w:rsidR="00D0728E" w:rsidRDefault="00D0728E" w:rsidP="00D0728E">
      <w:r w:rsidRPr="009E1E78">
        <w:t>But in contrast, condition</w:t>
      </w:r>
      <w:r w:rsidR="009E1E78">
        <w:t>s</w:t>
      </w:r>
      <w:r w:rsidRPr="009E1E78">
        <w:t xml:space="preserve"> </w:t>
      </w:r>
      <w:r w:rsidR="00B16E53">
        <w:t xml:space="preserve">for crops </w:t>
      </w:r>
      <w:r w:rsidRPr="009E1E78">
        <w:t>in Northern Ireland ha</w:t>
      </w:r>
      <w:r w:rsidR="009E1E78">
        <w:t>ve</w:t>
      </w:r>
      <w:r w:rsidRPr="009E1E78">
        <w:t xml:space="preserve"> recently improved following a wet</w:t>
      </w:r>
      <w:r w:rsidR="004F61FE" w:rsidRPr="009E1E78">
        <w:t xml:space="preserve"> start to </w:t>
      </w:r>
      <w:r w:rsidRPr="009E1E78">
        <w:t>spring</w:t>
      </w:r>
      <w:r w:rsidR="00A42891">
        <w:t xml:space="preserve"> and keeping the good-to-excellent rating stable </w:t>
      </w:r>
      <w:r w:rsidR="00F343F1">
        <w:t>compared to March</w:t>
      </w:r>
      <w:r w:rsidRPr="009E1E78">
        <w:t>.</w:t>
      </w:r>
    </w:p>
    <w:p w14:paraId="7BB38343" w14:textId="53A6F14B" w:rsidR="00B95191" w:rsidRPr="00D61F0E" w:rsidRDefault="00D0728E" w:rsidP="008B4A38">
      <w:pPr>
        <w:rPr>
          <w:color w:val="EE0000"/>
        </w:rPr>
      </w:pPr>
      <w:r>
        <w:t>Winter wheat y</w:t>
      </w:r>
      <w:r w:rsidR="00C53618" w:rsidRPr="001967F4">
        <w:t xml:space="preserve">ields </w:t>
      </w:r>
      <w:r w:rsidR="00B16E53">
        <w:t>will be</w:t>
      </w:r>
      <w:r w:rsidR="00C53618">
        <w:t xml:space="preserve"> </w:t>
      </w:r>
      <w:r w:rsidR="00C53618" w:rsidRPr="001967F4">
        <w:t>highly dependent on</w:t>
      </w:r>
      <w:r w:rsidR="00C53618">
        <w:t xml:space="preserve"> </w:t>
      </w:r>
      <w:r w:rsidR="00C53618" w:rsidRPr="001967F4">
        <w:t xml:space="preserve">rainfall </w:t>
      </w:r>
      <w:r w:rsidR="00C53618">
        <w:t>levels over the</w:t>
      </w:r>
      <w:r w:rsidR="00C53618" w:rsidRPr="001967F4">
        <w:t xml:space="preserve"> next </w:t>
      </w:r>
      <w:r w:rsidR="00C53618">
        <w:t>two</w:t>
      </w:r>
      <w:r w:rsidR="007E376F">
        <w:t xml:space="preserve"> </w:t>
      </w:r>
      <w:r w:rsidR="00C53618">
        <w:t>to</w:t>
      </w:r>
      <w:r w:rsidR="007E376F">
        <w:t xml:space="preserve"> </w:t>
      </w:r>
      <w:r w:rsidR="00C53618">
        <w:t>three</w:t>
      </w:r>
      <w:r w:rsidR="00C53618" w:rsidRPr="001967F4">
        <w:t xml:space="preserve"> weeks</w:t>
      </w:r>
      <w:r w:rsidR="00C53618">
        <w:rPr>
          <w:color w:val="EE0000"/>
        </w:rPr>
        <w:t>.</w:t>
      </w:r>
    </w:p>
    <w:p w14:paraId="42896BE7" w14:textId="7FED67F8" w:rsidR="00B95191" w:rsidRPr="007A7D3E" w:rsidRDefault="00900C2D" w:rsidP="00B95191">
      <w:pPr>
        <w:pStyle w:val="Heading2"/>
        <w:spacing w:before="360"/>
      </w:pPr>
      <w:r>
        <w:t>Winter barley</w:t>
      </w:r>
    </w:p>
    <w:p w14:paraId="2CFD4B85" w14:textId="77777777" w:rsidR="00B95191" w:rsidRPr="007A7D3E" w:rsidRDefault="00B95191" w:rsidP="00B95191">
      <w:pPr>
        <w:pStyle w:val="Heading3"/>
      </w:pPr>
      <w:r w:rsidRPr="007A7D3E">
        <w:t>Crop development</w:t>
      </w:r>
    </w:p>
    <w:p w14:paraId="6CC1AFE1" w14:textId="2A0249F1" w:rsidR="00C53618" w:rsidRDefault="00D61F0E" w:rsidP="004F61FE">
      <w:r>
        <w:t>T</w:t>
      </w:r>
      <w:r w:rsidR="00C53618">
        <w:t>he g</w:t>
      </w:r>
      <w:r w:rsidR="00C53618" w:rsidRPr="00F817C5">
        <w:t>rowth stage</w:t>
      </w:r>
      <w:r w:rsidR="00C53618">
        <w:t>s</w:t>
      </w:r>
      <w:r w:rsidR="00C53618" w:rsidRPr="00F817C5">
        <w:t xml:space="preserve"> </w:t>
      </w:r>
      <w:r w:rsidR="00C53618">
        <w:t xml:space="preserve">for winter barley crops are </w:t>
      </w:r>
      <w:r w:rsidR="00C53618" w:rsidRPr="00F817C5">
        <w:t>highly variable</w:t>
      </w:r>
      <w:r w:rsidR="00C53618">
        <w:t xml:space="preserve">, with most crops ranging </w:t>
      </w:r>
      <w:r w:rsidR="00C53618" w:rsidRPr="00F817C5">
        <w:t>from GS33 to GS39</w:t>
      </w:r>
      <w:r w:rsidR="00512828">
        <w:t xml:space="preserve"> (flag leaf fully emerged)</w:t>
      </w:r>
      <w:r w:rsidR="00C53618">
        <w:t>.</w:t>
      </w:r>
    </w:p>
    <w:p w14:paraId="107D5812" w14:textId="43AF3ACE" w:rsidR="00D0728E" w:rsidRDefault="00C53618" w:rsidP="004F61FE">
      <w:r>
        <w:t>Crops in Northern Ireland were affected by the wet start to spring, which delayed nitrogen and PGR applications.</w:t>
      </w:r>
      <w:r w:rsidR="00D0728E">
        <w:t xml:space="preserve"> </w:t>
      </w:r>
    </w:p>
    <w:p w14:paraId="0F6060D9" w14:textId="34130D1A" w:rsidR="00C53618" w:rsidRPr="007A7D3E" w:rsidRDefault="00D0728E" w:rsidP="004F61FE">
      <w:r>
        <w:t>Meanwhile</w:t>
      </w:r>
      <w:r w:rsidR="00C53618">
        <w:t xml:space="preserve"> in Scotland, crops are advanced for the time of year, with flag leaves now emerging despite cold nights and light frosts.</w:t>
      </w:r>
    </w:p>
    <w:p w14:paraId="5011FFBB" w14:textId="77777777" w:rsidR="00B95191" w:rsidRPr="007A7D3E" w:rsidRDefault="00B95191" w:rsidP="00B95191">
      <w:pPr>
        <w:pStyle w:val="Heading3"/>
        <w:rPr>
          <w:rFonts w:ascii="Arial" w:hAnsi="Arial"/>
        </w:rPr>
      </w:pPr>
      <w:r w:rsidRPr="007A7D3E">
        <w:rPr>
          <w:rFonts w:ascii="Arial" w:hAnsi="Arial"/>
        </w:rPr>
        <w:t>Nutrition</w:t>
      </w:r>
    </w:p>
    <w:p w14:paraId="797FB5FA" w14:textId="769A895C" w:rsidR="009A0DE4" w:rsidRPr="00B16E53" w:rsidRDefault="00ED4D4F" w:rsidP="00900C2D">
      <w:r w:rsidRPr="00B16E53">
        <w:t>Nitrogen applications are now mostly complete</w:t>
      </w:r>
      <w:r w:rsidR="009A0DE4" w:rsidRPr="00B16E53">
        <w:t>.</w:t>
      </w:r>
    </w:p>
    <w:p w14:paraId="5919B9ED" w14:textId="2AB04928" w:rsidR="00ED4D4F" w:rsidRDefault="00ED4D4F" w:rsidP="00900C2D">
      <w:r w:rsidRPr="00B16E53">
        <w:t xml:space="preserve">In the North East, lower PGR </w:t>
      </w:r>
      <w:r w:rsidRPr="00F343F1">
        <w:t>rates are being used to avoid crop stress.</w:t>
      </w:r>
    </w:p>
    <w:p w14:paraId="46F0B016" w14:textId="77777777" w:rsidR="00F343F1" w:rsidRDefault="00F343F1" w:rsidP="00B95191">
      <w:pPr>
        <w:pStyle w:val="Heading3"/>
        <w:rPr>
          <w:rFonts w:ascii="Arial" w:hAnsi="Arial"/>
        </w:rPr>
      </w:pPr>
    </w:p>
    <w:p w14:paraId="73AF8A05" w14:textId="781E8C13" w:rsidR="00B95191" w:rsidRPr="007A7D3E" w:rsidRDefault="00B95191" w:rsidP="00B95191">
      <w:pPr>
        <w:pStyle w:val="Heading3"/>
        <w:rPr>
          <w:rFonts w:ascii="Arial" w:hAnsi="Arial"/>
        </w:rPr>
      </w:pPr>
      <w:r w:rsidRPr="007A7D3E">
        <w:rPr>
          <w:rFonts w:ascii="Arial" w:hAnsi="Arial"/>
        </w:rPr>
        <w:lastRenderedPageBreak/>
        <w:t>Pest, weed and disease pressures</w:t>
      </w:r>
    </w:p>
    <w:p w14:paraId="26EC430A" w14:textId="365FA90C" w:rsidR="00F343F1" w:rsidRPr="00F343F1" w:rsidRDefault="00F343F1" w:rsidP="00F343F1">
      <w:r w:rsidRPr="00F343F1">
        <w:t>Pest pressure has increased and there is a high incidence of BYDV in winter barley overall. In the East Midlands BYDV is present in untreated, early sown crops, while in the West Midlands</w:t>
      </w:r>
      <w:r w:rsidR="007E376F">
        <w:t>,</w:t>
      </w:r>
      <w:r w:rsidRPr="00F343F1">
        <w:t xml:space="preserve"> a final fungicide is planned at awn emergence. BYDV is present in Wales but at lower levels than last year.</w:t>
      </w:r>
    </w:p>
    <w:p w14:paraId="27350B07" w14:textId="77777777" w:rsidR="00F343F1" w:rsidRPr="00F343F1" w:rsidRDefault="00F343F1" w:rsidP="00F343F1">
      <w:r w:rsidRPr="00F343F1">
        <w:t>There are increasing reports of Wheat Dwarf Virus in the East Midlands, and brown rust is observed in coastal areas of Eastern England.</w:t>
      </w:r>
    </w:p>
    <w:p w14:paraId="5427986F" w14:textId="096D77F0" w:rsidR="00ED4D4F" w:rsidRPr="00F343F1" w:rsidRDefault="00512828" w:rsidP="00943BD3">
      <w:r w:rsidRPr="00F343F1">
        <w:t>S</w:t>
      </w:r>
      <w:r w:rsidR="00B16E53" w:rsidRPr="00F343F1">
        <w:t xml:space="preserve">econd </w:t>
      </w:r>
      <w:r w:rsidR="00D0728E" w:rsidRPr="00F343F1">
        <w:t>f</w:t>
      </w:r>
      <w:r w:rsidR="00ED4D4F" w:rsidRPr="00F343F1">
        <w:t>ungicide</w:t>
      </w:r>
      <w:r w:rsidR="00D0728E" w:rsidRPr="00F343F1">
        <w:t xml:space="preserve"> </w:t>
      </w:r>
      <w:r w:rsidR="00ED4D4F" w:rsidRPr="00F343F1">
        <w:t>spray</w:t>
      </w:r>
      <w:r w:rsidRPr="00F343F1">
        <w:t>s</w:t>
      </w:r>
      <w:r w:rsidR="00ED4D4F" w:rsidRPr="00F343F1">
        <w:t xml:space="preserve"> </w:t>
      </w:r>
      <w:r w:rsidRPr="00F343F1">
        <w:t>are</w:t>
      </w:r>
      <w:r w:rsidR="00D0728E" w:rsidRPr="00F343F1">
        <w:t xml:space="preserve"> </w:t>
      </w:r>
      <w:r w:rsidR="00ED4D4F" w:rsidRPr="00F343F1">
        <w:t xml:space="preserve">largely complete, </w:t>
      </w:r>
      <w:r w:rsidR="00D0728E" w:rsidRPr="00F343F1">
        <w:t xml:space="preserve">though </w:t>
      </w:r>
      <w:r w:rsidR="00ED4D4F" w:rsidRPr="00F343F1">
        <w:t xml:space="preserve">a final ear/awn treatment </w:t>
      </w:r>
      <w:r w:rsidR="00D0728E" w:rsidRPr="00F343F1">
        <w:t xml:space="preserve">is </w:t>
      </w:r>
      <w:r w:rsidR="00ED4D4F" w:rsidRPr="00F343F1">
        <w:t>planned where yield potential justifies cost</w:t>
      </w:r>
      <w:r w:rsidR="00D0728E" w:rsidRPr="00F343F1">
        <w:t xml:space="preserve">. </w:t>
      </w:r>
    </w:p>
    <w:p w14:paraId="0A039D52" w14:textId="2A7BC1DA" w:rsidR="00ED4D4F" w:rsidRPr="00F343F1" w:rsidRDefault="00D0728E" w:rsidP="00ED4D4F">
      <w:r w:rsidRPr="00F343F1">
        <w:t>In Wales,</w:t>
      </w:r>
      <w:r w:rsidR="00ED4D4F" w:rsidRPr="00F343F1">
        <w:t xml:space="preserve"> disease levels </w:t>
      </w:r>
      <w:r w:rsidR="00F51F13" w:rsidRPr="00F343F1">
        <w:t>are still</w:t>
      </w:r>
      <w:r w:rsidR="00ED4D4F" w:rsidRPr="00F343F1">
        <w:t xml:space="preserve"> low, with net blotch and rhynchosporium observed. </w:t>
      </w:r>
    </w:p>
    <w:p w14:paraId="234AB238" w14:textId="74A708F8" w:rsidR="00F343F1" w:rsidRPr="00F343F1" w:rsidRDefault="00F343F1" w:rsidP="00ED4D4F">
      <w:r w:rsidRPr="00F343F1">
        <w:t>No major weed issues are reported.</w:t>
      </w:r>
    </w:p>
    <w:p w14:paraId="5F8CB344" w14:textId="7B372AEE" w:rsidR="00B95191" w:rsidRPr="00E163A1" w:rsidRDefault="00B95191" w:rsidP="00E163A1">
      <w:pPr>
        <w:pStyle w:val="Heading3"/>
        <w:rPr>
          <w:rFonts w:ascii="Arial" w:hAnsi="Arial"/>
          <w:color w:val="5F5F5F"/>
          <w:sz w:val="20"/>
        </w:rPr>
      </w:pPr>
      <w:r w:rsidRPr="007A7D3E">
        <w:rPr>
          <w:rFonts w:ascii="Arial" w:hAnsi="Arial"/>
        </w:rPr>
        <w:t>Prospects</w:t>
      </w:r>
    </w:p>
    <w:p w14:paraId="7623274E" w14:textId="4B09AAA6" w:rsidR="00BF43B4" w:rsidRDefault="00C53618" w:rsidP="00C53618">
      <w:r>
        <w:t xml:space="preserve">70% of the UK winter barley crop is rated as in a good or excellent condition, down from </w:t>
      </w:r>
      <w:r w:rsidR="00E163A1" w:rsidRPr="00D61F0E">
        <w:t xml:space="preserve">85% </w:t>
      </w:r>
      <w:r>
        <w:t>a month ago. It is only slightly above the 68% with this rating a year ago</w:t>
      </w:r>
      <w:r w:rsidR="00ED4D4F">
        <w:t>.</w:t>
      </w:r>
      <w:r w:rsidR="00D0728E">
        <w:t xml:space="preserve"> </w:t>
      </w:r>
      <w:r w:rsidR="00512828">
        <w:t>And, like wheat, crop conditions vary across the country.</w:t>
      </w:r>
    </w:p>
    <w:p w14:paraId="3B2CA264" w14:textId="1443B3FF" w:rsidR="00C53618" w:rsidRDefault="00ED4D4F" w:rsidP="00512828">
      <w:r>
        <w:t xml:space="preserve">The prospects for </w:t>
      </w:r>
      <w:r w:rsidR="00512828">
        <w:t>winter barley</w:t>
      </w:r>
      <w:r>
        <w:t xml:space="preserve"> crop</w:t>
      </w:r>
      <w:r w:rsidR="00512828">
        <w:t>s</w:t>
      </w:r>
      <w:r>
        <w:t xml:space="preserve"> will d</w:t>
      </w:r>
      <w:r w:rsidR="00C53618">
        <w:t>epend on rainfall levels in the coming weeks</w:t>
      </w:r>
      <w:r>
        <w:t>.</w:t>
      </w:r>
    </w:p>
    <w:p w14:paraId="52819D50" w14:textId="646E3A49" w:rsidR="00B95191" w:rsidRPr="007A7D3E" w:rsidRDefault="00900C2D" w:rsidP="00512828">
      <w:pPr>
        <w:pStyle w:val="Heading2"/>
        <w:spacing w:before="360"/>
      </w:pPr>
      <w:r>
        <w:t>Winter oats</w:t>
      </w:r>
    </w:p>
    <w:p w14:paraId="517CD988" w14:textId="77777777" w:rsidR="00B95191" w:rsidRPr="007A7D3E" w:rsidRDefault="00B95191" w:rsidP="00B95191">
      <w:pPr>
        <w:pStyle w:val="Heading3"/>
      </w:pPr>
      <w:r w:rsidRPr="007A7D3E">
        <w:t>Crop development</w:t>
      </w:r>
    </w:p>
    <w:p w14:paraId="5B7EC872" w14:textId="23321EDE" w:rsidR="00DE1901" w:rsidRDefault="001A49E8" w:rsidP="00943BD3">
      <w:r>
        <w:t>There is wide variation in winter oat development</w:t>
      </w:r>
      <w:r w:rsidR="00412F76">
        <w:t xml:space="preserve"> influenced by sowing time and local conditions</w:t>
      </w:r>
      <w:r>
        <w:t xml:space="preserve">; </w:t>
      </w:r>
      <w:r w:rsidR="00943BD3">
        <w:t>g</w:t>
      </w:r>
      <w:r>
        <w:t xml:space="preserve">rowth stages </w:t>
      </w:r>
      <w:r w:rsidRPr="00F343F1">
        <w:t xml:space="preserve">generally range </w:t>
      </w:r>
      <w:r w:rsidR="00DE1901" w:rsidRPr="00F343F1">
        <w:t xml:space="preserve">from </w:t>
      </w:r>
      <w:r w:rsidRPr="00F343F1">
        <w:t>G</w:t>
      </w:r>
      <w:r w:rsidR="00DE1901" w:rsidRPr="00F343F1">
        <w:t>S23 (tillering) to GS33.</w:t>
      </w:r>
      <w:r w:rsidR="00943BD3" w:rsidRPr="00F343F1">
        <w:t xml:space="preserve"> Some more forward crops in Eastern England and Scotland, have their flag leaf showing.</w:t>
      </w:r>
    </w:p>
    <w:p w14:paraId="268FB628" w14:textId="17DAEF66" w:rsidR="001A49E8" w:rsidRDefault="001A49E8" w:rsidP="00943BD3">
      <w:r>
        <w:t>There is variation in g</w:t>
      </w:r>
      <w:r w:rsidRPr="00064E61">
        <w:t>rowth stage</w:t>
      </w:r>
      <w:r>
        <w:t>s</w:t>
      </w:r>
      <w:r w:rsidRPr="00064E61">
        <w:t xml:space="preserve"> </w:t>
      </w:r>
      <w:r>
        <w:t xml:space="preserve">between lowland and upland </w:t>
      </w:r>
      <w:r w:rsidRPr="00064E61">
        <w:t>areas</w:t>
      </w:r>
      <w:r>
        <w:t xml:space="preserve"> in Wales.</w:t>
      </w:r>
    </w:p>
    <w:p w14:paraId="7525BB89" w14:textId="4D6F00CC" w:rsidR="00B95191" w:rsidRPr="007A7D3E" w:rsidRDefault="00B95191" w:rsidP="00B95191">
      <w:pPr>
        <w:pStyle w:val="Heading3"/>
        <w:rPr>
          <w:rFonts w:ascii="Arial" w:hAnsi="Arial"/>
        </w:rPr>
      </w:pPr>
      <w:r w:rsidRPr="007A7D3E">
        <w:rPr>
          <w:rFonts w:ascii="Arial" w:hAnsi="Arial"/>
        </w:rPr>
        <w:t>Nutrition</w:t>
      </w:r>
    </w:p>
    <w:p w14:paraId="07C6C88E" w14:textId="43C18DD5" w:rsidR="00A213D4" w:rsidRDefault="00DE1901" w:rsidP="00900C2D">
      <w:bookmarkStart w:id="0" w:name="_Hlk184039803"/>
      <w:r w:rsidRPr="003E4E00">
        <w:t xml:space="preserve">Nitrogen </w:t>
      </w:r>
      <w:r w:rsidR="001A49E8">
        <w:t xml:space="preserve">applications have been </w:t>
      </w:r>
      <w:r w:rsidRPr="003E4E00">
        <w:t>intentionally restricted to manage lodging</w:t>
      </w:r>
      <w:r w:rsidR="001A49E8">
        <w:t xml:space="preserve"> in some winter oat crops</w:t>
      </w:r>
      <w:r>
        <w:t>.</w:t>
      </w:r>
      <w:r w:rsidR="00A213D4" w:rsidRPr="00A213D4">
        <w:t xml:space="preserve"> </w:t>
      </w:r>
    </w:p>
    <w:p w14:paraId="4A5588FF" w14:textId="3D8A9018" w:rsidR="00B95191" w:rsidRPr="007A7D3E" w:rsidRDefault="00B95191" w:rsidP="00B95191">
      <w:pPr>
        <w:pStyle w:val="Heading3"/>
        <w:rPr>
          <w:rFonts w:ascii="Arial" w:hAnsi="Arial"/>
        </w:rPr>
      </w:pPr>
      <w:r w:rsidRPr="007A7D3E">
        <w:rPr>
          <w:rFonts w:ascii="Arial" w:hAnsi="Arial"/>
        </w:rPr>
        <w:t>Pest, weed and disease pressures</w:t>
      </w:r>
    </w:p>
    <w:bookmarkEnd w:id="0"/>
    <w:p w14:paraId="29AB88FD" w14:textId="42C6FC03" w:rsidR="00DE1901" w:rsidRDefault="00DE1901" w:rsidP="00DE1901">
      <w:r>
        <w:t xml:space="preserve">Winter oat crops are generally </w:t>
      </w:r>
      <w:r w:rsidR="00F51F13">
        <w:t>clean</w:t>
      </w:r>
      <w:r>
        <w:t xml:space="preserve">, and no major pest issues are reported. </w:t>
      </w:r>
    </w:p>
    <w:p w14:paraId="114774B7" w14:textId="7461060C" w:rsidR="00DE1901" w:rsidRDefault="001A49E8" w:rsidP="00DE1901">
      <w:r>
        <w:t>Pressure from e</w:t>
      </w:r>
      <w:r w:rsidR="00DE1901">
        <w:t xml:space="preserve">arly mildew has </w:t>
      </w:r>
      <w:r>
        <w:t xml:space="preserve">now </w:t>
      </w:r>
      <w:r w:rsidR="00DE1901">
        <w:t>largely subsided.</w:t>
      </w:r>
      <w:r>
        <w:t xml:space="preserve"> While c</w:t>
      </w:r>
      <w:r w:rsidR="00DE1901">
        <w:t xml:space="preserve">rown rust has been reported in some regions, levels </w:t>
      </w:r>
      <w:r w:rsidR="00F51F13">
        <w:t>a</w:t>
      </w:r>
      <w:r w:rsidR="00DE1901">
        <w:t>re limited so far.</w:t>
      </w:r>
    </w:p>
    <w:p w14:paraId="462A5F39" w14:textId="527CE1BD" w:rsidR="001A49E8" w:rsidRDefault="001A49E8" w:rsidP="001A49E8">
      <w:r>
        <w:t xml:space="preserve">Low levels </w:t>
      </w:r>
      <w:r w:rsidR="00DE1901">
        <w:t xml:space="preserve">of mildew and septoria </w:t>
      </w:r>
      <w:r>
        <w:t xml:space="preserve">are </w:t>
      </w:r>
      <w:r w:rsidR="00DE1901">
        <w:t>observed</w:t>
      </w:r>
      <w:r>
        <w:t xml:space="preserve"> in Northern Ireland</w:t>
      </w:r>
      <w:r w:rsidR="00DE1901">
        <w:t>.</w:t>
      </w:r>
      <w:r>
        <w:t xml:space="preserve"> In the West Midlands, fungicide treatments are expected shortly.</w:t>
      </w:r>
    </w:p>
    <w:p w14:paraId="4A960741" w14:textId="01F9FFD7" w:rsidR="00B95191" w:rsidRPr="007A7D3E" w:rsidRDefault="00B95191" w:rsidP="00B95191">
      <w:pPr>
        <w:pStyle w:val="Heading3"/>
        <w:rPr>
          <w:rFonts w:ascii="Arial" w:hAnsi="Arial"/>
        </w:rPr>
      </w:pPr>
      <w:r w:rsidRPr="007A7D3E">
        <w:rPr>
          <w:rFonts w:ascii="Arial" w:hAnsi="Arial"/>
        </w:rPr>
        <w:t>Prospects</w:t>
      </w:r>
    </w:p>
    <w:p w14:paraId="740A78CD" w14:textId="6962C306" w:rsidR="001A49E8" w:rsidRPr="00D61F0E" w:rsidRDefault="001A49E8" w:rsidP="00943BD3">
      <w:r>
        <w:t xml:space="preserve">Overall crop condition </w:t>
      </w:r>
      <w:r w:rsidR="00412F76">
        <w:t xml:space="preserve">is </w:t>
      </w:r>
      <w:r>
        <w:t xml:space="preserve">good. </w:t>
      </w:r>
      <w:r w:rsidR="00BA1E27" w:rsidRPr="00D61F0E">
        <w:t>8</w:t>
      </w:r>
      <w:r>
        <w:t>1</w:t>
      </w:r>
      <w:r w:rsidR="00BA1E27" w:rsidRPr="00D61F0E">
        <w:t xml:space="preserve">% of the </w:t>
      </w:r>
      <w:r>
        <w:t xml:space="preserve">UK winter oat </w:t>
      </w:r>
      <w:r w:rsidR="00BA1E27" w:rsidRPr="00D61F0E">
        <w:t xml:space="preserve">crop </w:t>
      </w:r>
      <w:r>
        <w:t xml:space="preserve">is </w:t>
      </w:r>
      <w:r w:rsidR="00BA1E27" w:rsidRPr="00D61F0E">
        <w:t xml:space="preserve">rated </w:t>
      </w:r>
      <w:r>
        <w:t xml:space="preserve">as </w:t>
      </w:r>
      <w:r w:rsidR="00BA1E27" w:rsidRPr="00D61F0E">
        <w:t>good-to-excellent</w:t>
      </w:r>
      <w:r>
        <w:t xml:space="preserve">, down </w:t>
      </w:r>
      <w:r w:rsidR="00BA1E27" w:rsidRPr="00D61F0E">
        <w:t>from 8</w:t>
      </w:r>
      <w:r>
        <w:t>8</w:t>
      </w:r>
      <w:r w:rsidR="00BA1E27" w:rsidRPr="00D61F0E">
        <w:t xml:space="preserve">% in </w:t>
      </w:r>
      <w:r>
        <w:t>late-March but still notably above the 72% at this point a year ago.</w:t>
      </w:r>
      <w:r w:rsidR="00BA1E27" w:rsidRPr="00D61F0E">
        <w:t xml:space="preserve"> </w:t>
      </w:r>
    </w:p>
    <w:p w14:paraId="5A939837" w14:textId="5F8D58AD" w:rsidR="00B95191" w:rsidRPr="007A7D3E" w:rsidRDefault="00900C2D" w:rsidP="00B95191">
      <w:pPr>
        <w:pStyle w:val="Heading2"/>
        <w:spacing w:before="360"/>
      </w:pPr>
      <w:r>
        <w:lastRenderedPageBreak/>
        <w:t>Winter oilseed rape</w:t>
      </w:r>
    </w:p>
    <w:p w14:paraId="6B4351C4" w14:textId="77777777" w:rsidR="00B95191" w:rsidRPr="007A7D3E" w:rsidRDefault="00B95191" w:rsidP="00B95191">
      <w:pPr>
        <w:pStyle w:val="Heading3"/>
      </w:pPr>
      <w:r w:rsidRPr="007A7D3E">
        <w:t>Crop development</w:t>
      </w:r>
    </w:p>
    <w:p w14:paraId="2E8FADE9" w14:textId="3ABE06CA" w:rsidR="00061954" w:rsidRDefault="00DE1901" w:rsidP="00061954">
      <w:bookmarkStart w:id="1" w:name="_Hlk184039836"/>
      <w:r>
        <w:t>Winter oilseed rape c</w:t>
      </w:r>
      <w:r w:rsidR="00061954">
        <w:t xml:space="preserve">rops are generally </w:t>
      </w:r>
      <w:r>
        <w:t xml:space="preserve">around </w:t>
      </w:r>
      <w:r w:rsidR="007C6729">
        <w:t xml:space="preserve">the </w:t>
      </w:r>
      <w:r w:rsidR="00061954">
        <w:t>50% flowering</w:t>
      </w:r>
      <w:r w:rsidR="007C6729">
        <w:t xml:space="preserve"> stage</w:t>
      </w:r>
      <w:r w:rsidR="00943BD3">
        <w:t xml:space="preserve">, with 74% of crops nationwide at this stage. Last year, most crops were at the green bud stage with only the most forward crops at 50% flowering. </w:t>
      </w:r>
    </w:p>
    <w:p w14:paraId="60F572EA" w14:textId="77777777" w:rsidR="00136E5C" w:rsidRDefault="00136E5C" w:rsidP="00136E5C">
      <w:r w:rsidRPr="00E510C1">
        <w:t>Prolonged flowering is expected for many crops, especially in drier eastern areas.</w:t>
      </w:r>
    </w:p>
    <w:p w14:paraId="2601368B" w14:textId="708090CE" w:rsidR="00DE1901" w:rsidRDefault="00136E5C" w:rsidP="00DE1901">
      <w:r>
        <w:t>However, w</w:t>
      </w:r>
      <w:r w:rsidR="00061954">
        <w:t xml:space="preserve">ide variability </w:t>
      </w:r>
      <w:r w:rsidR="00DE1901">
        <w:t xml:space="preserve">in flowering is </w:t>
      </w:r>
      <w:r w:rsidR="00F51F13">
        <w:t>noted</w:t>
      </w:r>
      <w:r w:rsidR="00061954">
        <w:t xml:space="preserve">, with some crops flowering well </w:t>
      </w:r>
      <w:r w:rsidR="00A70F22">
        <w:t xml:space="preserve">while </w:t>
      </w:r>
      <w:r w:rsidR="00061954">
        <w:t xml:space="preserve">others </w:t>
      </w:r>
      <w:r w:rsidR="00DE1901">
        <w:t xml:space="preserve">are </w:t>
      </w:r>
      <w:r w:rsidR="00061954">
        <w:t>limited by pigeon damage or short racemes.</w:t>
      </w:r>
      <w:r w:rsidR="00B34FAA" w:rsidRPr="00B34FAA">
        <w:t xml:space="preserve"> </w:t>
      </w:r>
    </w:p>
    <w:p w14:paraId="0877150B" w14:textId="1B8C9323" w:rsidR="00DE1901" w:rsidRDefault="00DE1901" w:rsidP="00DE1901">
      <w:pPr>
        <w:pStyle w:val="ListParagraph"/>
        <w:spacing w:after="0"/>
        <w:ind w:left="318" w:hanging="285"/>
        <w:contextualSpacing w:val="0"/>
      </w:pPr>
      <w:r>
        <w:t>In Wales, there is variation in g</w:t>
      </w:r>
      <w:r w:rsidRPr="00064E61">
        <w:t>rowth stage</w:t>
      </w:r>
      <w:r>
        <w:t>s</w:t>
      </w:r>
      <w:r w:rsidRPr="00064E61">
        <w:t xml:space="preserve"> </w:t>
      </w:r>
      <w:r>
        <w:t xml:space="preserve">between lowland and upland </w:t>
      </w:r>
      <w:r w:rsidRPr="00064E61">
        <w:t>areas</w:t>
      </w:r>
      <w:r>
        <w:t>.</w:t>
      </w:r>
    </w:p>
    <w:p w14:paraId="354B31DB" w14:textId="77777777" w:rsidR="00DE1901" w:rsidRDefault="00DE1901" w:rsidP="00DE1901">
      <w:pPr>
        <w:pStyle w:val="ListParagraph"/>
        <w:spacing w:after="0"/>
        <w:ind w:left="318" w:hanging="285"/>
        <w:contextualSpacing w:val="0"/>
      </w:pPr>
    </w:p>
    <w:p w14:paraId="0FADC172" w14:textId="58392118" w:rsidR="00DE1901" w:rsidRPr="00D17D50" w:rsidRDefault="00943BD3" w:rsidP="009E1E78">
      <w:pPr>
        <w:pStyle w:val="ListParagraph"/>
        <w:spacing w:after="0"/>
        <w:ind w:left="318" w:hanging="285"/>
        <w:contextualSpacing w:val="0"/>
      </w:pPr>
      <w:r w:rsidRPr="00412F76">
        <w:t xml:space="preserve">In </w:t>
      </w:r>
      <w:r w:rsidR="00DE1901" w:rsidRPr="00412F76">
        <w:t>Scotland</w:t>
      </w:r>
      <w:r w:rsidRPr="00412F76">
        <w:t xml:space="preserve">, </w:t>
      </w:r>
      <w:r w:rsidR="00412F76" w:rsidRPr="00412F76">
        <w:t xml:space="preserve">an ideal </w:t>
      </w:r>
      <w:r w:rsidR="00DE1901" w:rsidRPr="00412F76">
        <w:t xml:space="preserve">dry flowering period </w:t>
      </w:r>
      <w:r w:rsidR="00412F76" w:rsidRPr="00412F76">
        <w:t>is reported</w:t>
      </w:r>
      <w:r w:rsidRPr="00412F76">
        <w:t>.</w:t>
      </w:r>
      <w:r w:rsidR="00DE1901" w:rsidRPr="005A3ABF">
        <w:t> </w:t>
      </w:r>
    </w:p>
    <w:p w14:paraId="0669DE11" w14:textId="77777777" w:rsidR="00B95191" w:rsidRPr="007A7D3E" w:rsidRDefault="00B95191" w:rsidP="00B95191">
      <w:pPr>
        <w:pStyle w:val="Heading3"/>
        <w:rPr>
          <w:rFonts w:ascii="Arial" w:hAnsi="Arial"/>
        </w:rPr>
      </w:pPr>
      <w:r w:rsidRPr="007A7D3E">
        <w:rPr>
          <w:rFonts w:ascii="Arial" w:hAnsi="Arial"/>
        </w:rPr>
        <w:t>Pest, weed and disease pressures</w:t>
      </w:r>
    </w:p>
    <w:bookmarkEnd w:id="1"/>
    <w:p w14:paraId="46A63B4C" w14:textId="23351102" w:rsidR="00DE1901" w:rsidRDefault="00DE1901" w:rsidP="00DE1901">
      <w:r>
        <w:t>Overall, there is very low Cabbage Stem Flea Beetle (CSFB) incidence. Pollen beetle levels are increasing but rarely treated. Some crops in the West Midlands were</w:t>
      </w:r>
      <w:r w:rsidRPr="002A1EFA">
        <w:t xml:space="preserve"> shortened by winter stress and pigeon</w:t>
      </w:r>
      <w:r>
        <w:t xml:space="preserve"> damage</w:t>
      </w:r>
      <w:r w:rsidR="00F51F13">
        <w:t xml:space="preserve">. </w:t>
      </w:r>
    </w:p>
    <w:p w14:paraId="3C96719B" w14:textId="4AC019AF" w:rsidR="00DE1901" w:rsidRDefault="00DE1901" w:rsidP="00DE1901">
      <w:r>
        <w:t>Weed control is generally better than average.</w:t>
      </w:r>
    </w:p>
    <w:p w14:paraId="174AE609" w14:textId="5BBBBD38" w:rsidR="00DE1901" w:rsidRPr="00B34FAA" w:rsidRDefault="00DE1901" w:rsidP="00DE1901">
      <w:r>
        <w:t xml:space="preserve">Light leaf spot reported in many regions and sclerotinia sprays are ongoing. </w:t>
      </w:r>
      <w:r w:rsidR="007C6729">
        <w:t>But i</w:t>
      </w:r>
      <w:r>
        <w:t>f dry conditions persist, sclerotinia sprays may be omitted in Scotland to reduce costs.</w:t>
      </w:r>
    </w:p>
    <w:p w14:paraId="3DDA99F2" w14:textId="77777777" w:rsidR="00B95191" w:rsidRPr="007A7D3E" w:rsidRDefault="00B95191" w:rsidP="00B95191">
      <w:pPr>
        <w:pStyle w:val="Heading3"/>
        <w:rPr>
          <w:rFonts w:ascii="Arial" w:hAnsi="Arial"/>
        </w:rPr>
      </w:pPr>
      <w:r w:rsidRPr="007A7D3E">
        <w:rPr>
          <w:rFonts w:ascii="Arial" w:hAnsi="Arial"/>
        </w:rPr>
        <w:t>Prospects</w:t>
      </w:r>
    </w:p>
    <w:p w14:paraId="10B7CE33" w14:textId="410C8440" w:rsidR="00B34FAA" w:rsidRPr="007A7D3E" w:rsidRDefault="00061954" w:rsidP="00061954">
      <w:r>
        <w:t xml:space="preserve">Yield potential </w:t>
      </w:r>
      <w:r w:rsidR="004B57E4">
        <w:t>of</w:t>
      </w:r>
      <w:r>
        <w:t xml:space="preserve"> winter oilseed rape crops </w:t>
      </w:r>
      <w:r w:rsidR="00F51F13">
        <w:t>is still</w:t>
      </w:r>
      <w:r w:rsidR="004B57E4">
        <w:t xml:space="preserve"> </w:t>
      </w:r>
      <w:r>
        <w:t xml:space="preserve">good, with the proportion of crops rated good-to-excellent unchanged from last month at </w:t>
      </w:r>
      <w:r w:rsidR="00B34FAA" w:rsidRPr="00D61F0E">
        <w:t>84%</w:t>
      </w:r>
      <w:r>
        <w:t>. This is also notably above last year, when 59% of winter oilseed rape was in good-to-excellent condition.</w:t>
      </w:r>
    </w:p>
    <w:p w14:paraId="270F0EFF" w14:textId="684717D4" w:rsidR="00085D9D" w:rsidRPr="009B385E" w:rsidRDefault="00085D9D" w:rsidP="009B385E">
      <w:pPr>
        <w:pStyle w:val="Heading2"/>
        <w:spacing w:before="360"/>
      </w:pPr>
      <w:r w:rsidRPr="009B385E">
        <w:t>Spring crops</w:t>
      </w:r>
    </w:p>
    <w:p w14:paraId="5CB9C776" w14:textId="77777777" w:rsidR="00061954" w:rsidRPr="007A7D3E" w:rsidRDefault="00061954" w:rsidP="00061954">
      <w:pPr>
        <w:pStyle w:val="Heading3"/>
      </w:pPr>
      <w:r w:rsidRPr="007A7D3E">
        <w:t>Crop development</w:t>
      </w:r>
    </w:p>
    <w:p w14:paraId="66F89509" w14:textId="5ED10C61" w:rsidR="00275FE0" w:rsidRDefault="00061954" w:rsidP="00275FE0">
      <w:r>
        <w:t xml:space="preserve">Drilling is largely complete </w:t>
      </w:r>
      <w:r w:rsidR="00275FE0">
        <w:t>nationwide</w:t>
      </w:r>
      <w:r>
        <w:t>.</w:t>
      </w:r>
      <w:r w:rsidR="00275FE0">
        <w:t xml:space="preserve"> Across the UK, just 1% of spring wheat, 3% of spring barley and 4% of spring oat crops are yet to be planted or emerge</w:t>
      </w:r>
      <w:r w:rsidR="00F51F13">
        <w:t xml:space="preserve">. </w:t>
      </w:r>
    </w:p>
    <w:p w14:paraId="46F2214B" w14:textId="53288853" w:rsidR="00275FE0" w:rsidRDefault="00275FE0" w:rsidP="00275FE0">
      <w:r>
        <w:t>However, in Northern Ireland, there was only a very short drilling window before early April due to wet weather, which limited progress. A major drilling push is now underway following improved conditions.</w:t>
      </w:r>
    </w:p>
    <w:p w14:paraId="2B627D3A" w14:textId="2033A72A" w:rsidR="00275FE0" w:rsidRDefault="00275FE0" w:rsidP="00275FE0">
      <w:r>
        <w:t>E</w:t>
      </w:r>
      <w:r w:rsidR="00061954">
        <w:t xml:space="preserve">stablishment </w:t>
      </w:r>
      <w:r>
        <w:t xml:space="preserve">of </w:t>
      </w:r>
      <w:r w:rsidR="00F343F1">
        <w:t xml:space="preserve">all </w:t>
      </w:r>
      <w:r>
        <w:t xml:space="preserve">crops </w:t>
      </w:r>
      <w:r w:rsidR="00061954">
        <w:t>has been slow and uneven due to dry soil conditions in many areas</w:t>
      </w:r>
      <w:r>
        <w:t xml:space="preserve"> of the UK.</w:t>
      </w:r>
      <w:r w:rsidR="00715ADE">
        <w:t xml:space="preserve"> </w:t>
      </w:r>
    </w:p>
    <w:p w14:paraId="31B9AA79" w14:textId="06505263" w:rsidR="00275FE0" w:rsidRDefault="007C6729" w:rsidP="00275FE0">
      <w:r>
        <w:t>For s</w:t>
      </w:r>
      <w:r w:rsidR="00275FE0">
        <w:t>pring barley</w:t>
      </w:r>
      <w:r>
        <w:t>,</w:t>
      </w:r>
      <w:r w:rsidR="00275FE0">
        <w:t xml:space="preserve"> emergence </w:t>
      </w:r>
      <w:r>
        <w:t xml:space="preserve">of crops on lighter soils </w:t>
      </w:r>
      <w:r w:rsidR="00275FE0">
        <w:t>has been good</w:t>
      </w:r>
      <w:r>
        <w:t>,</w:t>
      </w:r>
      <w:r w:rsidR="00275FE0">
        <w:t xml:space="preserve"> </w:t>
      </w:r>
      <w:r>
        <w:t xml:space="preserve">but </w:t>
      </w:r>
      <w:r w:rsidR="00275FE0">
        <w:t>on heavier soils establishment is patchy with cloddy seedbeds.</w:t>
      </w:r>
    </w:p>
    <w:p w14:paraId="6492A203" w14:textId="7F99FFAA" w:rsidR="00275FE0" w:rsidRPr="00275FE0" w:rsidRDefault="007C6729" w:rsidP="00715ADE">
      <w:r>
        <w:t>T</w:t>
      </w:r>
      <w:r w:rsidR="00275FE0">
        <w:t xml:space="preserve">here is wide variation in </w:t>
      </w:r>
      <w:r>
        <w:t xml:space="preserve">the </w:t>
      </w:r>
      <w:r w:rsidR="00275FE0">
        <w:t xml:space="preserve">development </w:t>
      </w:r>
      <w:r>
        <w:t xml:space="preserve">of spring crops </w:t>
      </w:r>
      <w:r w:rsidR="00275FE0">
        <w:t xml:space="preserve">too. </w:t>
      </w:r>
      <w:r w:rsidR="00061954">
        <w:t xml:space="preserve">Some crops are only just emerging, </w:t>
      </w:r>
      <w:r w:rsidR="00061954" w:rsidRPr="00715ADE">
        <w:t xml:space="preserve">while </w:t>
      </w:r>
      <w:r w:rsidR="00715ADE">
        <w:t xml:space="preserve">the most forward spring wheat and oat crops </w:t>
      </w:r>
      <w:r w:rsidR="00061954" w:rsidRPr="00715ADE">
        <w:t xml:space="preserve">have reached </w:t>
      </w:r>
      <w:r w:rsidR="00715ADE">
        <w:t xml:space="preserve">GS31. The most forward spring barley crops </w:t>
      </w:r>
      <w:r w:rsidR="00275FE0">
        <w:t xml:space="preserve">have the leaf </w:t>
      </w:r>
      <w:r>
        <w:t>sheath</w:t>
      </w:r>
      <w:r w:rsidR="00275FE0">
        <w:t xml:space="preserve"> erect.</w:t>
      </w:r>
    </w:p>
    <w:p w14:paraId="787A6B9D" w14:textId="16EC8B35" w:rsidR="00061954" w:rsidRPr="007A7D3E" w:rsidRDefault="00061954" w:rsidP="00061954">
      <w:pPr>
        <w:pStyle w:val="Heading3"/>
        <w:rPr>
          <w:rFonts w:ascii="Arial" w:hAnsi="Arial"/>
        </w:rPr>
      </w:pPr>
      <w:r w:rsidRPr="007A7D3E">
        <w:rPr>
          <w:rFonts w:ascii="Arial" w:hAnsi="Arial"/>
        </w:rPr>
        <w:lastRenderedPageBreak/>
        <w:t>Nutrition</w:t>
      </w:r>
    </w:p>
    <w:p w14:paraId="0F2AF8E6" w14:textId="2979857D" w:rsidR="00061954" w:rsidRDefault="00715ADE" w:rsidP="007C6729">
      <w:r>
        <w:t xml:space="preserve">Nitrogen uptake has been slow where soils </w:t>
      </w:r>
      <w:r w:rsidR="00F51F13">
        <w:t>a</w:t>
      </w:r>
      <w:r>
        <w:t>re dry, and s</w:t>
      </w:r>
      <w:r w:rsidR="00061954">
        <w:t xml:space="preserve">ome manganese and sulphur deficiencies have </w:t>
      </w:r>
      <w:r>
        <w:t xml:space="preserve">also </w:t>
      </w:r>
      <w:r w:rsidR="00061954">
        <w:t xml:space="preserve">been </w:t>
      </w:r>
      <w:r w:rsidR="00F51F13">
        <w:t>seen</w:t>
      </w:r>
      <w:r w:rsidR="00061954">
        <w:t>.</w:t>
      </w:r>
      <w:r w:rsidR="00275FE0">
        <w:t xml:space="preserve"> </w:t>
      </w:r>
    </w:p>
    <w:p w14:paraId="4966F8C7" w14:textId="3D1A5AE7" w:rsidR="00061954" w:rsidRDefault="00715ADE" w:rsidP="007C6729">
      <w:r>
        <w:t xml:space="preserve">In the </w:t>
      </w:r>
      <w:r w:rsidR="00061954">
        <w:t>West Midlands</w:t>
      </w:r>
      <w:r>
        <w:t>,</w:t>
      </w:r>
      <w:r w:rsidR="00061954">
        <w:t xml:space="preserve"> </w:t>
      </w:r>
      <w:r>
        <w:t xml:space="preserve">some </w:t>
      </w:r>
      <w:r w:rsidR="00061954">
        <w:t xml:space="preserve">nitrogen and manganese deficiencies </w:t>
      </w:r>
      <w:r>
        <w:t xml:space="preserve">are </w:t>
      </w:r>
      <w:r w:rsidR="00061954">
        <w:t>observed in spring barley</w:t>
      </w:r>
      <w:r w:rsidR="007C6729">
        <w:t xml:space="preserve"> crops</w:t>
      </w:r>
      <w:r w:rsidR="00061954">
        <w:t>.</w:t>
      </w:r>
    </w:p>
    <w:p w14:paraId="54FD2FA7" w14:textId="77777777" w:rsidR="00061954" w:rsidRPr="007A7D3E" w:rsidRDefault="00061954" w:rsidP="00061954">
      <w:pPr>
        <w:pStyle w:val="Heading3"/>
        <w:rPr>
          <w:rFonts w:ascii="Arial" w:hAnsi="Arial"/>
        </w:rPr>
      </w:pPr>
      <w:r w:rsidRPr="007A7D3E">
        <w:rPr>
          <w:rFonts w:ascii="Arial" w:hAnsi="Arial"/>
        </w:rPr>
        <w:t>Pest, weed and disease pressures</w:t>
      </w:r>
    </w:p>
    <w:p w14:paraId="4E8E8FC0" w14:textId="26622CC8" w:rsidR="00061954" w:rsidRDefault="00061954" w:rsidP="00275FE0">
      <w:r w:rsidRPr="00136E5C">
        <w:t xml:space="preserve">Many pre-emergence herbicides were not applied due to </w:t>
      </w:r>
      <w:r w:rsidR="007C6729" w:rsidRPr="00136E5C">
        <w:t xml:space="preserve">the </w:t>
      </w:r>
      <w:r w:rsidRPr="00136E5C">
        <w:t>dry conditions</w:t>
      </w:r>
      <w:r w:rsidR="009B64FD">
        <w:t>; p</w:t>
      </w:r>
      <w:r w:rsidRPr="00136E5C">
        <w:t xml:space="preserve">ost-emergence control strategies are now </w:t>
      </w:r>
      <w:r w:rsidR="00F51F13" w:rsidRPr="00136E5C">
        <w:t>needed</w:t>
      </w:r>
      <w:r w:rsidRPr="00136E5C">
        <w:t xml:space="preserve"> to manage broadleaf weeds.</w:t>
      </w:r>
    </w:p>
    <w:p w14:paraId="7A9F5EB2" w14:textId="004A25F4" w:rsidR="00061954" w:rsidRDefault="00275FE0" w:rsidP="00275FE0">
      <w:r>
        <w:t>N</w:t>
      </w:r>
      <w:r w:rsidR="00061954">
        <w:t xml:space="preserve">o </w:t>
      </w:r>
      <w:r>
        <w:t xml:space="preserve">CSFB </w:t>
      </w:r>
      <w:r w:rsidR="00061954">
        <w:t>activity has been observed to date</w:t>
      </w:r>
      <w:r>
        <w:t xml:space="preserve"> in spring oilseed rape</w:t>
      </w:r>
      <w:r w:rsidR="00061954">
        <w:t>.</w:t>
      </w:r>
    </w:p>
    <w:p w14:paraId="03C1896E" w14:textId="270095E7" w:rsidR="00715ADE" w:rsidRPr="007A7D3E" w:rsidRDefault="00715ADE" w:rsidP="00715ADE">
      <w:pPr>
        <w:pStyle w:val="Heading3"/>
        <w:rPr>
          <w:rFonts w:ascii="Arial" w:hAnsi="Arial"/>
        </w:rPr>
      </w:pPr>
      <w:r>
        <w:rPr>
          <w:rFonts w:ascii="Arial" w:hAnsi="Arial"/>
        </w:rPr>
        <w:t>Prospects</w:t>
      </w:r>
    </w:p>
    <w:p w14:paraId="13338CA6" w14:textId="6333A9E1" w:rsidR="00715ADE" w:rsidRPr="009B64FD" w:rsidRDefault="00715ADE" w:rsidP="007C6729">
      <w:r w:rsidRPr="009B64FD">
        <w:t>With most spring cereal crops emerged, the early assessments of crop</w:t>
      </w:r>
      <w:r w:rsidR="00BB5A96" w:rsidRPr="009B64FD">
        <w:t>s</w:t>
      </w:r>
      <w:r w:rsidRPr="009B64FD">
        <w:t xml:space="preserve"> </w:t>
      </w:r>
      <w:r w:rsidR="00275FE0" w:rsidRPr="009B64FD">
        <w:t>condition</w:t>
      </w:r>
      <w:r w:rsidRPr="009B64FD">
        <w:t xml:space="preserve"> </w:t>
      </w:r>
      <w:r w:rsidR="007C6729" w:rsidRPr="009B64FD">
        <w:t>look</w:t>
      </w:r>
      <w:r w:rsidRPr="009B64FD">
        <w:t xml:space="preserve"> </w:t>
      </w:r>
      <w:r w:rsidR="00275FE0" w:rsidRPr="009B64FD">
        <w:t>encouraging</w:t>
      </w:r>
      <w:r w:rsidR="007C6729" w:rsidRPr="009B64FD">
        <w:t>, but r</w:t>
      </w:r>
      <w:r w:rsidRPr="009B64FD">
        <w:t>ainfall in the coming week</w:t>
      </w:r>
      <w:r w:rsidR="007C6729" w:rsidRPr="009B64FD">
        <w:t>s</w:t>
      </w:r>
      <w:r w:rsidRPr="009B64FD">
        <w:t xml:space="preserve"> i</w:t>
      </w:r>
      <w:r w:rsidR="00275FE0" w:rsidRPr="009B64FD">
        <w:t>s</w:t>
      </w:r>
      <w:r w:rsidRPr="009B64FD">
        <w:t xml:space="preserve"> critical.</w:t>
      </w:r>
    </w:p>
    <w:p w14:paraId="66657212" w14:textId="417CC895" w:rsidR="00B95191" w:rsidRDefault="007C6729" w:rsidP="007C6729">
      <w:r w:rsidRPr="009B64FD">
        <w:t xml:space="preserve">Future reports will </w:t>
      </w:r>
      <w:r w:rsidR="00F51F13" w:rsidRPr="009B64FD">
        <w:t>have</w:t>
      </w:r>
      <w:r w:rsidRPr="009B64FD">
        <w:t xml:space="preserve"> m</w:t>
      </w:r>
      <w:r w:rsidR="00715ADE" w:rsidRPr="009B64FD">
        <w:t>ore information on spring crops.</w:t>
      </w:r>
    </w:p>
    <w:p w14:paraId="651005F3" w14:textId="77777777" w:rsidR="00B95191" w:rsidRDefault="00B95191" w:rsidP="00715ADE">
      <w:pPr>
        <w:pStyle w:val="Heading2"/>
        <w:spacing w:before="360"/>
      </w:pPr>
      <w:r w:rsidRPr="00715ADE">
        <w:t>Contact us</w:t>
      </w:r>
    </w:p>
    <w:p w14:paraId="32C11558" w14:textId="77777777" w:rsidR="00B95191" w:rsidRDefault="00B95191" w:rsidP="00B95191">
      <w:r w:rsidRPr="00B05791">
        <w:t xml:space="preserve">AHDB, Siskin Parkway East, Middlemarch Business Park, Coventry CV3 4PE </w:t>
      </w:r>
      <w:r w:rsidRPr="00B05791">
        <w:tab/>
      </w:r>
    </w:p>
    <w:p w14:paraId="42A8030A" w14:textId="66CA79F9" w:rsidR="00B95191" w:rsidRDefault="00B95191" w:rsidP="008B4A38">
      <w:r w:rsidRPr="00B05791">
        <w:t>Email: info@ahdb.org.uk</w:t>
      </w:r>
    </w:p>
    <w:sectPr w:rsidR="00B95191" w:rsidSect="008C7FD4">
      <w:headerReference w:type="even" r:id="rId11"/>
      <w:headerReference w:type="default" r:id="rId12"/>
      <w:footerReference w:type="even" r:id="rId13"/>
      <w:footerReference w:type="default" r:id="rId14"/>
      <w:headerReference w:type="first" r:id="rId15"/>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D03E" w14:textId="77777777" w:rsidR="000911EE" w:rsidRDefault="000911EE" w:rsidP="00F86FBC">
      <w:r>
        <w:separator/>
      </w:r>
    </w:p>
    <w:p w14:paraId="24AEBFAE" w14:textId="77777777" w:rsidR="000911EE" w:rsidRDefault="000911EE"/>
  </w:endnote>
  <w:endnote w:type="continuationSeparator" w:id="0">
    <w:p w14:paraId="0C1A0821" w14:textId="77777777" w:rsidR="000911EE" w:rsidRDefault="000911EE" w:rsidP="00F86FBC">
      <w:r>
        <w:continuationSeparator/>
      </w:r>
    </w:p>
    <w:p w14:paraId="5DB68BD0" w14:textId="77777777" w:rsidR="000911EE" w:rsidRDefault="00091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37CFA2FB"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C4124" w14:textId="77777777" w:rsidR="00F41E71" w:rsidRDefault="00F41E71" w:rsidP="00F86FBC">
    <w:pPr>
      <w:pStyle w:val="Footer"/>
    </w:pPr>
  </w:p>
  <w:p w14:paraId="724BC044"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15CE" w14:textId="132D2BD7"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009B64FD">
      <w:rPr>
        <w:sz w:val="20"/>
      </w:rPr>
      <w:fldChar w:fldCharType="begin"/>
    </w:r>
    <w:r w:rsidR="00F41E71" w:rsidRPr="009B64FD">
      <w:rPr>
        <w:sz w:val="20"/>
      </w:rPr>
      <w:instrText xml:space="preserve"> DATE \@ "yyyy" \* MERGEFORMAT </w:instrText>
    </w:r>
    <w:r w:rsidR="00F41E71" w:rsidRPr="009B64FD">
      <w:rPr>
        <w:sz w:val="20"/>
      </w:rPr>
      <w:fldChar w:fldCharType="separate"/>
    </w:r>
    <w:r w:rsidR="008342E4" w:rsidRPr="009B64FD">
      <w:rPr>
        <w:sz w:val="20"/>
      </w:rPr>
      <w:t>2026</w:t>
    </w:r>
    <w:r w:rsidR="00F41E71" w:rsidRPr="009B64FD">
      <w:rPr>
        <w:sz w:val="20"/>
      </w:rPr>
      <w:fldChar w:fldCharType="end"/>
    </w:r>
    <w:r w:rsidRPr="6613328E">
      <w:rPr>
        <w:sz w:val="20"/>
      </w:rPr>
      <w:t>. All rights reserved.</w:t>
    </w:r>
  </w:p>
  <w:p w14:paraId="5B2C643D" w14:textId="77777777" w:rsidR="00F41E71" w:rsidRPr="00B05791" w:rsidRDefault="00F41E71" w:rsidP="00B05791">
    <w:pPr>
      <w:pStyle w:val="Footer"/>
      <w:tabs>
        <w:tab w:val="center" w:pos="4395"/>
      </w:tabs>
      <w:rPr>
        <w:sz w:val="24"/>
        <w:szCs w:val="24"/>
      </w:rPr>
    </w:pPr>
  </w:p>
  <w:p w14:paraId="510E6149" w14:textId="77777777" w:rsidR="00F2259C" w:rsidRDefault="00F2259C" w:rsidP="00F86FBC">
    <w:pPr>
      <w:pStyle w:val="Footer"/>
    </w:pPr>
  </w:p>
  <w:p w14:paraId="2FB7014A"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149D" w14:textId="77777777" w:rsidR="000911EE" w:rsidRDefault="000911EE" w:rsidP="00F86FBC">
      <w:r>
        <w:separator/>
      </w:r>
    </w:p>
    <w:p w14:paraId="2AF1942B" w14:textId="77777777" w:rsidR="000911EE" w:rsidRDefault="000911EE"/>
  </w:footnote>
  <w:footnote w:type="continuationSeparator" w:id="0">
    <w:p w14:paraId="48122321" w14:textId="77777777" w:rsidR="000911EE" w:rsidRDefault="000911EE" w:rsidP="00F86FBC">
      <w:r>
        <w:continuationSeparator/>
      </w:r>
    </w:p>
    <w:p w14:paraId="7ADA96C1" w14:textId="77777777" w:rsidR="000911EE" w:rsidRDefault="00091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C50" w14:textId="5375C939" w:rsidR="00D61F0E" w:rsidRDefault="00D61F0E">
    <w:pPr>
      <w:pStyle w:val="Header"/>
    </w:pPr>
    <w:r>
      <w:rPr>
        <w:noProof/>
      </w:rPr>
      <mc:AlternateContent>
        <mc:Choice Requires="wps">
          <w:drawing>
            <wp:anchor distT="0" distB="0" distL="0" distR="0" simplePos="0" relativeHeight="251665408" behindDoc="0" locked="0" layoutInCell="1" allowOverlap="1" wp14:anchorId="68B567AC" wp14:editId="6D57C81A">
              <wp:simplePos x="635" y="635"/>
              <wp:positionH relativeFrom="page">
                <wp:align>center</wp:align>
              </wp:positionH>
              <wp:positionV relativeFrom="page">
                <wp:align>top</wp:align>
              </wp:positionV>
              <wp:extent cx="622300" cy="376555"/>
              <wp:effectExtent l="0" t="0" r="6350" b="4445"/>
              <wp:wrapNone/>
              <wp:docPr id="894547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1DD644" w14:textId="0BB1C5C6" w:rsidR="00D61F0E" w:rsidRPr="00D61F0E" w:rsidRDefault="00D61F0E" w:rsidP="00D61F0E">
                          <w:pPr>
                            <w:spacing w:after="0"/>
                            <w:rPr>
                              <w:rFonts w:ascii="Aptos" w:eastAsia="Aptos" w:hAnsi="Aptos" w:cs="Aptos"/>
                              <w:noProof/>
                              <w:color w:val="000000"/>
                              <w:sz w:val="24"/>
                              <w:szCs w:val="24"/>
                            </w:rPr>
                          </w:pPr>
                          <w:r w:rsidRPr="00D61F0E">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B567A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81DD644" w14:textId="0BB1C5C6" w:rsidR="00D61F0E" w:rsidRPr="00D61F0E" w:rsidRDefault="00D61F0E" w:rsidP="00D61F0E">
                    <w:pPr>
                      <w:spacing w:after="0"/>
                      <w:rPr>
                        <w:rFonts w:ascii="Aptos" w:eastAsia="Aptos" w:hAnsi="Aptos" w:cs="Aptos"/>
                        <w:noProof/>
                        <w:color w:val="000000"/>
                        <w:sz w:val="24"/>
                        <w:szCs w:val="24"/>
                      </w:rPr>
                    </w:pPr>
                    <w:r w:rsidRPr="00D61F0E">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CFF" w14:textId="51F4F566" w:rsidR="005D76FD" w:rsidRDefault="00D61F0E" w:rsidP="00F86FBC">
    <w:pPr>
      <w:pStyle w:val="Header"/>
    </w:pPr>
    <w:r>
      <w:rPr>
        <w:rFonts w:ascii="Ubuntu" w:eastAsiaTheme="minorHAnsi" w:hAnsi="Ubuntu"/>
        <w:noProof/>
        <w:color w:val="0090D4"/>
        <w:sz w:val="40"/>
        <w:szCs w:val="36"/>
        <w:lang w:val="en-US" w:eastAsia="en-US"/>
      </w:rPr>
      <mc:AlternateContent>
        <mc:Choice Requires="wps">
          <w:drawing>
            <wp:anchor distT="0" distB="0" distL="0" distR="0" simplePos="0" relativeHeight="251666432" behindDoc="0" locked="0" layoutInCell="1" allowOverlap="1" wp14:anchorId="3D771AD4" wp14:editId="7657530C">
              <wp:simplePos x="609600" y="451485"/>
              <wp:positionH relativeFrom="page">
                <wp:align>center</wp:align>
              </wp:positionH>
              <wp:positionV relativeFrom="page">
                <wp:align>top</wp:align>
              </wp:positionV>
              <wp:extent cx="622300" cy="376555"/>
              <wp:effectExtent l="0" t="0" r="6350" b="4445"/>
              <wp:wrapNone/>
              <wp:docPr id="20586412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38EE89" w14:textId="0323F403" w:rsidR="00D61F0E" w:rsidRPr="00D61F0E" w:rsidRDefault="00D61F0E" w:rsidP="00D61F0E">
                          <w:pPr>
                            <w:spacing w:after="0"/>
                            <w:rPr>
                              <w:rFonts w:ascii="Aptos" w:eastAsia="Aptos" w:hAnsi="Aptos" w:cs="Aptos"/>
                              <w:noProof/>
                              <w:color w:val="000000"/>
                              <w:sz w:val="24"/>
                              <w:szCs w:val="24"/>
                            </w:rPr>
                          </w:pPr>
                          <w:r w:rsidRPr="00D61F0E">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71AD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038EE89" w14:textId="0323F403" w:rsidR="00D61F0E" w:rsidRPr="00D61F0E" w:rsidRDefault="00D61F0E" w:rsidP="00D61F0E">
                    <w:pPr>
                      <w:spacing w:after="0"/>
                      <w:rPr>
                        <w:rFonts w:ascii="Aptos" w:eastAsia="Aptos" w:hAnsi="Aptos" w:cs="Aptos"/>
                        <w:noProof/>
                        <w:color w:val="000000"/>
                        <w:sz w:val="24"/>
                        <w:szCs w:val="24"/>
                      </w:rPr>
                    </w:pPr>
                    <w:r w:rsidRPr="00D61F0E">
                      <w:rPr>
                        <w:rFonts w:ascii="Aptos" w:eastAsia="Aptos" w:hAnsi="Aptos" w:cs="Aptos"/>
                        <w:noProof/>
                        <w:color w:val="000000"/>
                        <w:sz w:val="24"/>
                        <w:szCs w:val="24"/>
                      </w:rPr>
                      <w:t>OFFICIAL</w:t>
                    </w:r>
                  </w:p>
                </w:txbxContent>
              </v:textbox>
              <w10:wrap anchorx="page" anchory="page"/>
            </v:shape>
          </w:pict>
        </mc:Fallback>
      </mc:AlternateContent>
    </w:r>
    <w:r w:rsidR="00C45208"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5380F773" w14:textId="77777777" w:rsidR="005D76FD" w:rsidRDefault="005D76FD" w:rsidP="00F86FBC">
    <w:pPr>
      <w:pStyle w:val="Header"/>
    </w:pPr>
  </w:p>
  <w:p w14:paraId="15A1D770"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A087" w14:textId="1825D692" w:rsidR="00D61F0E" w:rsidRDefault="00D61F0E">
    <w:pPr>
      <w:pStyle w:val="Header"/>
    </w:pPr>
    <w:r>
      <w:rPr>
        <w:noProof/>
      </w:rPr>
      <mc:AlternateContent>
        <mc:Choice Requires="wps">
          <w:drawing>
            <wp:anchor distT="0" distB="0" distL="0" distR="0" simplePos="0" relativeHeight="251664384" behindDoc="0" locked="0" layoutInCell="1" allowOverlap="1" wp14:anchorId="7EA54A92" wp14:editId="376F681C">
              <wp:simplePos x="635" y="635"/>
              <wp:positionH relativeFrom="page">
                <wp:align>center</wp:align>
              </wp:positionH>
              <wp:positionV relativeFrom="page">
                <wp:align>top</wp:align>
              </wp:positionV>
              <wp:extent cx="622300" cy="376555"/>
              <wp:effectExtent l="0" t="0" r="6350" b="4445"/>
              <wp:wrapNone/>
              <wp:docPr id="2787517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11C2AF" w14:textId="3D669B5A" w:rsidR="00D61F0E" w:rsidRPr="00D61F0E" w:rsidRDefault="00D61F0E" w:rsidP="00D61F0E">
                          <w:pPr>
                            <w:spacing w:after="0"/>
                            <w:rPr>
                              <w:rFonts w:ascii="Aptos" w:eastAsia="Aptos" w:hAnsi="Aptos" w:cs="Aptos"/>
                              <w:noProof/>
                              <w:color w:val="000000"/>
                              <w:sz w:val="24"/>
                              <w:szCs w:val="24"/>
                            </w:rPr>
                          </w:pPr>
                          <w:r w:rsidRPr="00D61F0E">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54A92"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4D11C2AF" w14:textId="3D669B5A" w:rsidR="00D61F0E" w:rsidRPr="00D61F0E" w:rsidRDefault="00D61F0E" w:rsidP="00D61F0E">
                    <w:pPr>
                      <w:spacing w:after="0"/>
                      <w:rPr>
                        <w:rFonts w:ascii="Aptos" w:eastAsia="Aptos" w:hAnsi="Aptos" w:cs="Aptos"/>
                        <w:noProof/>
                        <w:color w:val="000000"/>
                        <w:sz w:val="24"/>
                        <w:szCs w:val="24"/>
                      </w:rPr>
                    </w:pPr>
                    <w:r w:rsidRPr="00D61F0E">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204.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06F2579"/>
    <w:multiLevelType w:val="hybridMultilevel"/>
    <w:tmpl w:val="83B2A8C2"/>
    <w:lvl w:ilvl="0" w:tplc="B8180F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1"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841EC"/>
    <w:multiLevelType w:val="hybridMultilevel"/>
    <w:tmpl w:val="5FDC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1B6E75"/>
    <w:multiLevelType w:val="hybridMultilevel"/>
    <w:tmpl w:val="944A5B5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1"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2"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5"/>
  </w:num>
  <w:num w:numId="2" w16cid:durableId="440146533">
    <w:abstractNumId w:val="0"/>
  </w:num>
  <w:num w:numId="3" w16cid:durableId="2051806794">
    <w:abstractNumId w:val="17"/>
  </w:num>
  <w:num w:numId="4" w16cid:durableId="1476675530">
    <w:abstractNumId w:val="32"/>
  </w:num>
  <w:num w:numId="5" w16cid:durableId="1114057574">
    <w:abstractNumId w:val="34"/>
  </w:num>
  <w:num w:numId="6" w16cid:durableId="1979526830">
    <w:abstractNumId w:val="22"/>
  </w:num>
  <w:num w:numId="7" w16cid:durableId="686911828">
    <w:abstractNumId w:val="21"/>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7"/>
  </w:num>
  <w:num w:numId="22" w16cid:durableId="669450329">
    <w:abstractNumId w:val="24"/>
  </w:num>
  <w:num w:numId="23" w16cid:durableId="1919287998">
    <w:abstractNumId w:val="30"/>
  </w:num>
  <w:num w:numId="24" w16cid:durableId="2006857881">
    <w:abstractNumId w:val="19"/>
  </w:num>
  <w:num w:numId="25" w16cid:durableId="1574075096">
    <w:abstractNumId w:val="20"/>
  </w:num>
  <w:num w:numId="26" w16cid:durableId="264920688">
    <w:abstractNumId w:val="14"/>
  </w:num>
  <w:num w:numId="27" w16cid:durableId="1996297387">
    <w:abstractNumId w:val="28"/>
  </w:num>
  <w:num w:numId="28" w16cid:durableId="495390249">
    <w:abstractNumId w:val="23"/>
  </w:num>
  <w:num w:numId="29" w16cid:durableId="759790617">
    <w:abstractNumId w:val="19"/>
    <w:lvlOverride w:ilvl="0">
      <w:startOverride w:val="1"/>
    </w:lvlOverride>
  </w:num>
  <w:num w:numId="30" w16cid:durableId="1368289204">
    <w:abstractNumId w:val="33"/>
  </w:num>
  <w:num w:numId="31" w16cid:durableId="756832289">
    <w:abstractNumId w:val="13"/>
  </w:num>
  <w:num w:numId="32" w16cid:durableId="2110000414">
    <w:abstractNumId w:val="35"/>
  </w:num>
  <w:num w:numId="33" w16cid:durableId="1933931263">
    <w:abstractNumId w:val="15"/>
  </w:num>
  <w:num w:numId="34" w16cid:durableId="1722896190">
    <w:abstractNumId w:val="31"/>
  </w:num>
  <w:num w:numId="35" w16cid:durableId="1027293863">
    <w:abstractNumId w:val="29"/>
  </w:num>
  <w:num w:numId="36" w16cid:durableId="1000040562">
    <w:abstractNumId w:val="26"/>
  </w:num>
  <w:num w:numId="37" w16cid:durableId="677267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oiIpraxOSWseQpTBAgYKcPoe51bk3qtA8g35Xm7jivLEMpjHLBIatRfcQL/xJkwbNTLdZDM3nwfqtHRKor1mw==" w:salt="0+JBRHMq0lvR1OaVVgDVc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A0"/>
    <w:rsid w:val="00002AF4"/>
    <w:rsid w:val="00005C32"/>
    <w:rsid w:val="000073E2"/>
    <w:rsid w:val="00010023"/>
    <w:rsid w:val="000603D9"/>
    <w:rsid w:val="00060BAD"/>
    <w:rsid w:val="00061954"/>
    <w:rsid w:val="0006243B"/>
    <w:rsid w:val="00065210"/>
    <w:rsid w:val="000652BD"/>
    <w:rsid w:val="00065DF1"/>
    <w:rsid w:val="0008594E"/>
    <w:rsid w:val="00085D9D"/>
    <w:rsid w:val="000860F7"/>
    <w:rsid w:val="000911EE"/>
    <w:rsid w:val="00095B97"/>
    <w:rsid w:val="000B5B6B"/>
    <w:rsid w:val="000C0E78"/>
    <w:rsid w:val="000C0EAA"/>
    <w:rsid w:val="000C5AD0"/>
    <w:rsid w:val="000C6DA1"/>
    <w:rsid w:val="000E0CC6"/>
    <w:rsid w:val="00100AC0"/>
    <w:rsid w:val="00114C48"/>
    <w:rsid w:val="00123796"/>
    <w:rsid w:val="001276F4"/>
    <w:rsid w:val="00132CC2"/>
    <w:rsid w:val="00136CA7"/>
    <w:rsid w:val="00136E5C"/>
    <w:rsid w:val="00146A79"/>
    <w:rsid w:val="0015019E"/>
    <w:rsid w:val="0015453B"/>
    <w:rsid w:val="00162F15"/>
    <w:rsid w:val="00164680"/>
    <w:rsid w:val="0017068D"/>
    <w:rsid w:val="001775AB"/>
    <w:rsid w:val="001777A4"/>
    <w:rsid w:val="001924A6"/>
    <w:rsid w:val="00196618"/>
    <w:rsid w:val="001A49E8"/>
    <w:rsid w:val="001A77E4"/>
    <w:rsid w:val="001A7B17"/>
    <w:rsid w:val="001B22CB"/>
    <w:rsid w:val="001B587F"/>
    <w:rsid w:val="001E4769"/>
    <w:rsid w:val="001E675E"/>
    <w:rsid w:val="00204B44"/>
    <w:rsid w:val="00211E92"/>
    <w:rsid w:val="0021263E"/>
    <w:rsid w:val="00213709"/>
    <w:rsid w:val="00226D7C"/>
    <w:rsid w:val="00233DA5"/>
    <w:rsid w:val="002341E1"/>
    <w:rsid w:val="0023463B"/>
    <w:rsid w:val="002353D7"/>
    <w:rsid w:val="00243D9B"/>
    <w:rsid w:val="00257BDB"/>
    <w:rsid w:val="00263DD9"/>
    <w:rsid w:val="0027056A"/>
    <w:rsid w:val="00271B49"/>
    <w:rsid w:val="00271FAB"/>
    <w:rsid w:val="00275FE0"/>
    <w:rsid w:val="00280F7F"/>
    <w:rsid w:val="00284707"/>
    <w:rsid w:val="00295C29"/>
    <w:rsid w:val="002A3CB4"/>
    <w:rsid w:val="002B03AF"/>
    <w:rsid w:val="002B53AC"/>
    <w:rsid w:val="002B708D"/>
    <w:rsid w:val="002D1274"/>
    <w:rsid w:val="002D17D3"/>
    <w:rsid w:val="002D70F4"/>
    <w:rsid w:val="002E4B61"/>
    <w:rsid w:val="002F559A"/>
    <w:rsid w:val="002F64F8"/>
    <w:rsid w:val="003016D2"/>
    <w:rsid w:val="00320908"/>
    <w:rsid w:val="00335EAB"/>
    <w:rsid w:val="00337D0D"/>
    <w:rsid w:val="0035023E"/>
    <w:rsid w:val="00370623"/>
    <w:rsid w:val="00371A1C"/>
    <w:rsid w:val="00380A1B"/>
    <w:rsid w:val="00391132"/>
    <w:rsid w:val="003946C5"/>
    <w:rsid w:val="003A476F"/>
    <w:rsid w:val="003C44E6"/>
    <w:rsid w:val="003D0E26"/>
    <w:rsid w:val="003D0E4F"/>
    <w:rsid w:val="003D10DF"/>
    <w:rsid w:val="00400BFB"/>
    <w:rsid w:val="00412F76"/>
    <w:rsid w:val="00421214"/>
    <w:rsid w:val="00426604"/>
    <w:rsid w:val="00437579"/>
    <w:rsid w:val="004441FD"/>
    <w:rsid w:val="00447568"/>
    <w:rsid w:val="004556F2"/>
    <w:rsid w:val="00460A64"/>
    <w:rsid w:val="00467747"/>
    <w:rsid w:val="00470C05"/>
    <w:rsid w:val="00494BF3"/>
    <w:rsid w:val="004B57E4"/>
    <w:rsid w:val="004C0E9A"/>
    <w:rsid w:val="004D5544"/>
    <w:rsid w:val="004D69A0"/>
    <w:rsid w:val="004F2A87"/>
    <w:rsid w:val="004F44A9"/>
    <w:rsid w:val="004F61FE"/>
    <w:rsid w:val="00502D75"/>
    <w:rsid w:val="00504C9C"/>
    <w:rsid w:val="00512828"/>
    <w:rsid w:val="00520352"/>
    <w:rsid w:val="0052718A"/>
    <w:rsid w:val="00527301"/>
    <w:rsid w:val="005323C8"/>
    <w:rsid w:val="00534A9E"/>
    <w:rsid w:val="00544050"/>
    <w:rsid w:val="00546BC3"/>
    <w:rsid w:val="00576BFE"/>
    <w:rsid w:val="005873B4"/>
    <w:rsid w:val="00587400"/>
    <w:rsid w:val="005C0E73"/>
    <w:rsid w:val="005D6F6B"/>
    <w:rsid w:val="005D76FD"/>
    <w:rsid w:val="005E546B"/>
    <w:rsid w:val="005F5A75"/>
    <w:rsid w:val="00611317"/>
    <w:rsid w:val="0062443B"/>
    <w:rsid w:val="00625DDC"/>
    <w:rsid w:val="00632A67"/>
    <w:rsid w:val="00634BDD"/>
    <w:rsid w:val="00636A09"/>
    <w:rsid w:val="006803BA"/>
    <w:rsid w:val="00683160"/>
    <w:rsid w:val="00686074"/>
    <w:rsid w:val="00687A70"/>
    <w:rsid w:val="006A4280"/>
    <w:rsid w:val="006A57A2"/>
    <w:rsid w:val="006E46BF"/>
    <w:rsid w:val="006F0812"/>
    <w:rsid w:val="00701D10"/>
    <w:rsid w:val="00705F7A"/>
    <w:rsid w:val="00712BCB"/>
    <w:rsid w:val="00715ADE"/>
    <w:rsid w:val="00725D0B"/>
    <w:rsid w:val="00731F40"/>
    <w:rsid w:val="00740B5A"/>
    <w:rsid w:val="00753979"/>
    <w:rsid w:val="00773A07"/>
    <w:rsid w:val="007823EB"/>
    <w:rsid w:val="00783013"/>
    <w:rsid w:val="007A3454"/>
    <w:rsid w:val="007B0F62"/>
    <w:rsid w:val="007C3170"/>
    <w:rsid w:val="007C6729"/>
    <w:rsid w:val="007E376F"/>
    <w:rsid w:val="007E51BB"/>
    <w:rsid w:val="007F230D"/>
    <w:rsid w:val="00800A52"/>
    <w:rsid w:val="0082080F"/>
    <w:rsid w:val="00820EC5"/>
    <w:rsid w:val="008270F4"/>
    <w:rsid w:val="0083209F"/>
    <w:rsid w:val="008342E4"/>
    <w:rsid w:val="00854E1C"/>
    <w:rsid w:val="008550BC"/>
    <w:rsid w:val="008552E0"/>
    <w:rsid w:val="00864C3E"/>
    <w:rsid w:val="0089180B"/>
    <w:rsid w:val="00896AB5"/>
    <w:rsid w:val="008A4817"/>
    <w:rsid w:val="008B2A08"/>
    <w:rsid w:val="008B4A38"/>
    <w:rsid w:val="008B56E8"/>
    <w:rsid w:val="008C7FD4"/>
    <w:rsid w:val="008D3AC1"/>
    <w:rsid w:val="008D6F80"/>
    <w:rsid w:val="00900C2D"/>
    <w:rsid w:val="009260A8"/>
    <w:rsid w:val="00926D5E"/>
    <w:rsid w:val="00932A32"/>
    <w:rsid w:val="00933190"/>
    <w:rsid w:val="00935132"/>
    <w:rsid w:val="0094099C"/>
    <w:rsid w:val="00943BD3"/>
    <w:rsid w:val="0095095F"/>
    <w:rsid w:val="00954387"/>
    <w:rsid w:val="00954FE1"/>
    <w:rsid w:val="00955D45"/>
    <w:rsid w:val="0097238D"/>
    <w:rsid w:val="00980454"/>
    <w:rsid w:val="009816EB"/>
    <w:rsid w:val="009818CE"/>
    <w:rsid w:val="00984BF1"/>
    <w:rsid w:val="00995A21"/>
    <w:rsid w:val="009A0DE4"/>
    <w:rsid w:val="009A2990"/>
    <w:rsid w:val="009B385E"/>
    <w:rsid w:val="009B64FD"/>
    <w:rsid w:val="009C0FFC"/>
    <w:rsid w:val="009C12B8"/>
    <w:rsid w:val="009C31AB"/>
    <w:rsid w:val="009D6691"/>
    <w:rsid w:val="009D77D5"/>
    <w:rsid w:val="009E1E78"/>
    <w:rsid w:val="009E755D"/>
    <w:rsid w:val="009F1C86"/>
    <w:rsid w:val="00A213D4"/>
    <w:rsid w:val="00A217A0"/>
    <w:rsid w:val="00A30E73"/>
    <w:rsid w:val="00A37BFE"/>
    <w:rsid w:val="00A40A3D"/>
    <w:rsid w:val="00A42891"/>
    <w:rsid w:val="00A42E0D"/>
    <w:rsid w:val="00A56646"/>
    <w:rsid w:val="00A63591"/>
    <w:rsid w:val="00A70546"/>
    <w:rsid w:val="00A70F22"/>
    <w:rsid w:val="00A72177"/>
    <w:rsid w:val="00A73699"/>
    <w:rsid w:val="00AB2A06"/>
    <w:rsid w:val="00AD4DEA"/>
    <w:rsid w:val="00AE2062"/>
    <w:rsid w:val="00AE388B"/>
    <w:rsid w:val="00AE499B"/>
    <w:rsid w:val="00B008EB"/>
    <w:rsid w:val="00B00C84"/>
    <w:rsid w:val="00B05791"/>
    <w:rsid w:val="00B1575C"/>
    <w:rsid w:val="00B16E53"/>
    <w:rsid w:val="00B20325"/>
    <w:rsid w:val="00B27019"/>
    <w:rsid w:val="00B27316"/>
    <w:rsid w:val="00B31E1F"/>
    <w:rsid w:val="00B34FAA"/>
    <w:rsid w:val="00B360F6"/>
    <w:rsid w:val="00B52380"/>
    <w:rsid w:val="00B533D0"/>
    <w:rsid w:val="00B539D5"/>
    <w:rsid w:val="00B56955"/>
    <w:rsid w:val="00B64E15"/>
    <w:rsid w:val="00B661D8"/>
    <w:rsid w:val="00B7599C"/>
    <w:rsid w:val="00B83C96"/>
    <w:rsid w:val="00B95191"/>
    <w:rsid w:val="00BA078F"/>
    <w:rsid w:val="00BA1E27"/>
    <w:rsid w:val="00BB51D6"/>
    <w:rsid w:val="00BB5A96"/>
    <w:rsid w:val="00BC23D2"/>
    <w:rsid w:val="00BC6B8F"/>
    <w:rsid w:val="00BD099F"/>
    <w:rsid w:val="00BD2E1A"/>
    <w:rsid w:val="00BE101A"/>
    <w:rsid w:val="00BF43B4"/>
    <w:rsid w:val="00BF495F"/>
    <w:rsid w:val="00BF4B69"/>
    <w:rsid w:val="00BF6837"/>
    <w:rsid w:val="00C100F5"/>
    <w:rsid w:val="00C12BCC"/>
    <w:rsid w:val="00C13308"/>
    <w:rsid w:val="00C2523C"/>
    <w:rsid w:val="00C30205"/>
    <w:rsid w:val="00C43DBA"/>
    <w:rsid w:val="00C45208"/>
    <w:rsid w:val="00C51957"/>
    <w:rsid w:val="00C53618"/>
    <w:rsid w:val="00C60438"/>
    <w:rsid w:val="00C637AB"/>
    <w:rsid w:val="00C66840"/>
    <w:rsid w:val="00C70315"/>
    <w:rsid w:val="00C7225B"/>
    <w:rsid w:val="00C74976"/>
    <w:rsid w:val="00C76CEE"/>
    <w:rsid w:val="00C93514"/>
    <w:rsid w:val="00C97F90"/>
    <w:rsid w:val="00CA404F"/>
    <w:rsid w:val="00CB7EFE"/>
    <w:rsid w:val="00CC1E0C"/>
    <w:rsid w:val="00CC2858"/>
    <w:rsid w:val="00CC57CB"/>
    <w:rsid w:val="00CC5EE9"/>
    <w:rsid w:val="00CD18BF"/>
    <w:rsid w:val="00CD566B"/>
    <w:rsid w:val="00CE697C"/>
    <w:rsid w:val="00CE6A48"/>
    <w:rsid w:val="00CF33F0"/>
    <w:rsid w:val="00CF470A"/>
    <w:rsid w:val="00D008FE"/>
    <w:rsid w:val="00D02F5C"/>
    <w:rsid w:val="00D06B06"/>
    <w:rsid w:val="00D0728E"/>
    <w:rsid w:val="00D2272E"/>
    <w:rsid w:val="00D24611"/>
    <w:rsid w:val="00D24B50"/>
    <w:rsid w:val="00D30757"/>
    <w:rsid w:val="00D37A09"/>
    <w:rsid w:val="00D37F7C"/>
    <w:rsid w:val="00D50AC7"/>
    <w:rsid w:val="00D57709"/>
    <w:rsid w:val="00D61F0E"/>
    <w:rsid w:val="00D664E3"/>
    <w:rsid w:val="00D8334A"/>
    <w:rsid w:val="00D8638C"/>
    <w:rsid w:val="00D90A95"/>
    <w:rsid w:val="00DA6551"/>
    <w:rsid w:val="00DA6ACF"/>
    <w:rsid w:val="00DB2D05"/>
    <w:rsid w:val="00DC1ABF"/>
    <w:rsid w:val="00DD16C6"/>
    <w:rsid w:val="00DD39E2"/>
    <w:rsid w:val="00DE1901"/>
    <w:rsid w:val="00DF4CB8"/>
    <w:rsid w:val="00DF7ADC"/>
    <w:rsid w:val="00E00DC0"/>
    <w:rsid w:val="00E03635"/>
    <w:rsid w:val="00E13676"/>
    <w:rsid w:val="00E163A1"/>
    <w:rsid w:val="00E40DB7"/>
    <w:rsid w:val="00E4578E"/>
    <w:rsid w:val="00E510C1"/>
    <w:rsid w:val="00E511D0"/>
    <w:rsid w:val="00E549BE"/>
    <w:rsid w:val="00E5543B"/>
    <w:rsid w:val="00E62483"/>
    <w:rsid w:val="00E81ADC"/>
    <w:rsid w:val="00E83E71"/>
    <w:rsid w:val="00EA5D4E"/>
    <w:rsid w:val="00EA7745"/>
    <w:rsid w:val="00EB0C82"/>
    <w:rsid w:val="00EB332B"/>
    <w:rsid w:val="00EC5325"/>
    <w:rsid w:val="00EC729C"/>
    <w:rsid w:val="00ED1C76"/>
    <w:rsid w:val="00ED4D4F"/>
    <w:rsid w:val="00EE1F0C"/>
    <w:rsid w:val="00EE2530"/>
    <w:rsid w:val="00EE35C5"/>
    <w:rsid w:val="00EE4203"/>
    <w:rsid w:val="00EE77FC"/>
    <w:rsid w:val="00EF090B"/>
    <w:rsid w:val="00F04E0F"/>
    <w:rsid w:val="00F14142"/>
    <w:rsid w:val="00F151EC"/>
    <w:rsid w:val="00F2259C"/>
    <w:rsid w:val="00F22B26"/>
    <w:rsid w:val="00F343F1"/>
    <w:rsid w:val="00F41D79"/>
    <w:rsid w:val="00F41E71"/>
    <w:rsid w:val="00F42B0C"/>
    <w:rsid w:val="00F51F13"/>
    <w:rsid w:val="00F52587"/>
    <w:rsid w:val="00F622F6"/>
    <w:rsid w:val="00F62404"/>
    <w:rsid w:val="00F71615"/>
    <w:rsid w:val="00F86FBC"/>
    <w:rsid w:val="00F96028"/>
    <w:rsid w:val="00F96A21"/>
    <w:rsid w:val="00FA051F"/>
    <w:rsid w:val="00FA1F61"/>
    <w:rsid w:val="00FA4019"/>
    <w:rsid w:val="00FA48C7"/>
    <w:rsid w:val="00FA7E00"/>
    <w:rsid w:val="00FD2C9D"/>
    <w:rsid w:val="00FD616B"/>
    <w:rsid w:val="00FD6450"/>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B3B8"/>
  <w15:chartTrackingRefBased/>
  <w15:docId w15:val="{33BD9B6F-DED6-4FAD-A2B8-08B3098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Revision">
    <w:name w:val="Revision"/>
    <w:hidden/>
    <w:uiPriority w:val="99"/>
    <w:semiHidden/>
    <w:rsid w:val="00E00DC0"/>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hdb.org.uk/cereals-oilseeds/crop-development-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775d0ceb-c2af-4360-b5b9-28d8bcd5c08e}" enabled="1" method="Standard" siteId="{a12ce54b-3d3d-4346-95ef-ff13ca5dd47d}" contentBits="1"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42</TotalTime>
  <Pages>6</Pages>
  <Words>1627</Words>
  <Characters>9277</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AHDB_Arable_Crop_Report_20260327</vt:lpstr>
    </vt:vector>
  </TitlesOfParts>
  <Company>AHDB</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AHDB_Arable_Crop_Report_20260327</dc:title>
  <dc:subject/>
  <dc:creator>Chris Lillington</dc:creator>
  <cp:keywords/>
  <dc:description/>
  <cp:lastModifiedBy>Helen Plant</cp:lastModifiedBy>
  <cp:revision>5</cp:revision>
  <cp:lastPrinted>2026-05-01T08:09:00Z</cp:lastPrinted>
  <dcterms:created xsi:type="dcterms:W3CDTF">2026-05-01T09:37:00Z</dcterms:created>
  <dcterms:modified xsi:type="dcterms:W3CDTF">2026-05-01T10:24:00Z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y fmtid="{D5CDD505-2E9C-101B-9397-08002B2CF9AE}" pid="17" name="ClassificationContentMarkingHeaderShapeIds">
    <vt:lpwstr>109d6a2a,3551b7d1,7ab45f62</vt:lpwstr>
  </property>
  <property fmtid="{D5CDD505-2E9C-101B-9397-08002B2CF9AE}" pid="18" name="ClassificationContentMarkingHeaderFontProps">
    <vt:lpwstr>#000000,12,Aptos</vt:lpwstr>
  </property>
  <property fmtid="{D5CDD505-2E9C-101B-9397-08002B2CF9AE}" pid="19" name="ClassificationContentMarkingHeaderText">
    <vt:lpwstr>OFFICIAL</vt:lpwstr>
  </property>
</Properties>
</file>